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E5F1" w14:textId="77777777" w:rsidR="00C6135B" w:rsidRDefault="003D5063" w:rsidP="00DB1236">
      <w:pPr>
        <w:pBdr>
          <w:left w:val="threeDEmboss" w:sz="24" w:space="1" w:color="auto"/>
        </w:pBdr>
        <w:jc w:val="both"/>
        <w:rPr>
          <w:rFonts w:ascii="Trebuchet MS" w:hAnsi="Trebuchet MS"/>
        </w:rPr>
      </w:pPr>
      <w:r>
        <w:rPr>
          <w:rFonts w:ascii="Trebuchet MS" w:hAnsi="Trebuchet MS"/>
        </w:rPr>
        <w:pict w14:anchorId="65437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64.5pt">
            <v:imagedata r:id="rId9" o:title="GRAHAME JACKSON"/>
          </v:shape>
        </w:pict>
      </w:r>
    </w:p>
    <w:p w14:paraId="457C484F" w14:textId="77777777" w:rsidR="009D0B11" w:rsidRDefault="009D0B11" w:rsidP="00DB1236">
      <w:pPr>
        <w:pStyle w:val="BodyText"/>
        <w:pBdr>
          <w:left w:val="threeDEmboss" w:sz="24" w:space="1" w:color="auto"/>
        </w:pBdr>
        <w:jc w:val="both"/>
        <w:rPr>
          <w:rFonts w:ascii="Garamond" w:hAnsi="Garamond"/>
          <w:shadow/>
          <w:sz w:val="24"/>
        </w:rPr>
      </w:pPr>
    </w:p>
    <w:p w14:paraId="4BEEDEFB" w14:textId="77777777" w:rsidR="00C6135B" w:rsidRPr="009D0B11" w:rsidRDefault="00C6135B" w:rsidP="00DB1236">
      <w:pPr>
        <w:pStyle w:val="BodyText"/>
        <w:pBdr>
          <w:left w:val="threeDEmboss" w:sz="24" w:space="1" w:color="auto"/>
        </w:pBdr>
        <w:jc w:val="center"/>
        <w:rPr>
          <w:shadow/>
          <w:sz w:val="24"/>
        </w:rPr>
      </w:pPr>
      <w:r w:rsidRPr="009D0B11">
        <w:rPr>
          <w:shadow/>
          <w:sz w:val="24"/>
        </w:rPr>
        <w:t>FAMILY LAW</w:t>
      </w:r>
    </w:p>
    <w:p w14:paraId="25ED2CAF" w14:textId="77777777" w:rsidR="00C6135B" w:rsidRPr="009D0B11" w:rsidRDefault="00C6135B" w:rsidP="00DB1236">
      <w:pPr>
        <w:pStyle w:val="BodyText"/>
        <w:pBdr>
          <w:left w:val="threeDEmboss" w:sz="24" w:space="1" w:color="auto"/>
        </w:pBdr>
        <w:jc w:val="center"/>
        <w:rPr>
          <w:shadow/>
          <w:sz w:val="24"/>
        </w:rPr>
      </w:pPr>
      <w:r w:rsidRPr="009D0B11">
        <w:rPr>
          <w:shadow/>
          <w:sz w:val="24"/>
        </w:rPr>
        <w:t>CHILDREN’S ISSUES</w:t>
      </w:r>
    </w:p>
    <w:p w14:paraId="16D805D3" w14:textId="77777777" w:rsidR="00C6135B" w:rsidRDefault="00C6135B" w:rsidP="00DB1236">
      <w:pPr>
        <w:pStyle w:val="BodyText"/>
        <w:pBdr>
          <w:left w:val="threeDEmboss" w:sz="24" w:space="1" w:color="auto"/>
        </w:pBdr>
        <w:jc w:val="both"/>
        <w:rPr>
          <w:sz w:val="24"/>
          <w:u w:val="single"/>
        </w:rPr>
      </w:pPr>
    </w:p>
    <w:p w14:paraId="786437BB" w14:textId="31D12B29" w:rsidR="00C6135B" w:rsidRDefault="00C6135B" w:rsidP="00DB1236">
      <w:pPr>
        <w:pStyle w:val="BodyText"/>
        <w:pBdr>
          <w:left w:val="threeDEmboss" w:sz="24" w:space="1" w:color="auto"/>
        </w:pBdr>
        <w:jc w:val="both"/>
        <w:rPr>
          <w:b w:val="0"/>
          <w:bCs w:val="0"/>
          <w:sz w:val="20"/>
        </w:rPr>
      </w:pPr>
      <w:r>
        <w:rPr>
          <w:b w:val="0"/>
          <w:bCs w:val="0"/>
          <w:sz w:val="20"/>
        </w:rPr>
        <w:t>Apart from decisions involving a property settlement, one of the major decisions that will need to be made upon separation will often include who a child/child</w:t>
      </w:r>
      <w:r w:rsidR="009D0B11">
        <w:rPr>
          <w:b w:val="0"/>
          <w:bCs w:val="0"/>
          <w:sz w:val="20"/>
        </w:rPr>
        <w:t>ren will live with (known</w:t>
      </w:r>
      <w:r>
        <w:rPr>
          <w:b w:val="0"/>
          <w:bCs w:val="0"/>
          <w:sz w:val="20"/>
        </w:rPr>
        <w:t xml:space="preserve"> previously </w:t>
      </w:r>
      <w:r w:rsidR="009D0B11">
        <w:rPr>
          <w:b w:val="0"/>
          <w:bCs w:val="0"/>
          <w:sz w:val="20"/>
        </w:rPr>
        <w:t>as ‘residence’ or ‘</w:t>
      </w:r>
      <w:r>
        <w:rPr>
          <w:b w:val="0"/>
          <w:bCs w:val="0"/>
          <w:sz w:val="20"/>
        </w:rPr>
        <w:t>custody</w:t>
      </w:r>
      <w:r w:rsidR="009D0B11">
        <w:rPr>
          <w:b w:val="0"/>
          <w:bCs w:val="0"/>
          <w:sz w:val="20"/>
        </w:rPr>
        <w:t>’</w:t>
      </w:r>
      <w:r>
        <w:rPr>
          <w:b w:val="0"/>
          <w:bCs w:val="0"/>
          <w:sz w:val="20"/>
        </w:rPr>
        <w:t>), where the child is to live, and how the non-residen</w:t>
      </w:r>
      <w:r w:rsidR="008824E9">
        <w:rPr>
          <w:b w:val="0"/>
          <w:bCs w:val="0"/>
          <w:sz w:val="20"/>
        </w:rPr>
        <w:t>t</w:t>
      </w:r>
      <w:r>
        <w:rPr>
          <w:b w:val="0"/>
          <w:bCs w:val="0"/>
          <w:sz w:val="20"/>
        </w:rPr>
        <w:t xml:space="preserve"> parent will </w:t>
      </w:r>
      <w:r w:rsidR="009D0B11">
        <w:rPr>
          <w:b w:val="0"/>
          <w:bCs w:val="0"/>
          <w:sz w:val="20"/>
        </w:rPr>
        <w:t xml:space="preserve">spend time with the child/ren </w:t>
      </w:r>
      <w:r>
        <w:rPr>
          <w:b w:val="0"/>
          <w:bCs w:val="0"/>
          <w:sz w:val="20"/>
        </w:rPr>
        <w:t>(</w:t>
      </w:r>
      <w:r w:rsidR="009D0B11">
        <w:rPr>
          <w:b w:val="0"/>
          <w:bCs w:val="0"/>
          <w:sz w:val="20"/>
        </w:rPr>
        <w:t xml:space="preserve">known </w:t>
      </w:r>
      <w:r>
        <w:rPr>
          <w:b w:val="0"/>
          <w:bCs w:val="0"/>
          <w:sz w:val="20"/>
        </w:rPr>
        <w:t xml:space="preserve">previously </w:t>
      </w:r>
      <w:r w:rsidR="009D0B11">
        <w:rPr>
          <w:b w:val="0"/>
          <w:bCs w:val="0"/>
          <w:sz w:val="20"/>
        </w:rPr>
        <w:t>as ‘contact’ or ‘</w:t>
      </w:r>
      <w:r>
        <w:rPr>
          <w:b w:val="0"/>
          <w:bCs w:val="0"/>
          <w:sz w:val="20"/>
        </w:rPr>
        <w:t>access</w:t>
      </w:r>
      <w:r w:rsidR="009D0B11">
        <w:rPr>
          <w:b w:val="0"/>
          <w:bCs w:val="0"/>
          <w:sz w:val="20"/>
        </w:rPr>
        <w:t>’</w:t>
      </w:r>
      <w:r>
        <w:rPr>
          <w:b w:val="0"/>
          <w:bCs w:val="0"/>
          <w:sz w:val="20"/>
        </w:rPr>
        <w:t>).</w:t>
      </w:r>
    </w:p>
    <w:p w14:paraId="37BAF719" w14:textId="77777777" w:rsidR="00C6135B" w:rsidRDefault="00C6135B" w:rsidP="00DB1236">
      <w:pPr>
        <w:pStyle w:val="BodyText"/>
        <w:pBdr>
          <w:left w:val="threeDEmboss" w:sz="24" w:space="1" w:color="auto"/>
        </w:pBdr>
        <w:jc w:val="both"/>
        <w:rPr>
          <w:b w:val="0"/>
          <w:bCs w:val="0"/>
          <w:sz w:val="20"/>
        </w:rPr>
      </w:pPr>
    </w:p>
    <w:p w14:paraId="1AA63ECB" w14:textId="77777777" w:rsidR="00C6135B" w:rsidRDefault="00C6135B" w:rsidP="00DB1236">
      <w:pPr>
        <w:pStyle w:val="BodyText"/>
        <w:pBdr>
          <w:left w:val="threeDEmboss" w:sz="24" w:space="1" w:color="auto"/>
        </w:pBdr>
        <w:jc w:val="both"/>
        <w:rPr>
          <w:b w:val="0"/>
          <w:bCs w:val="0"/>
          <w:sz w:val="20"/>
        </w:rPr>
      </w:pPr>
      <w:r>
        <w:rPr>
          <w:b w:val="0"/>
          <w:bCs w:val="0"/>
          <w:sz w:val="20"/>
        </w:rPr>
        <w:t xml:space="preserve">This newsletter outlines some of the problems that may arise with </w:t>
      </w:r>
      <w:r w:rsidR="009D0B11">
        <w:rPr>
          <w:b w:val="0"/>
          <w:bCs w:val="0"/>
          <w:sz w:val="20"/>
        </w:rPr>
        <w:t>children’s living arrangements</w:t>
      </w:r>
      <w:r>
        <w:rPr>
          <w:b w:val="0"/>
          <w:bCs w:val="0"/>
          <w:sz w:val="20"/>
        </w:rPr>
        <w:t xml:space="preserve"> once orders have come into place, what is taken into consideration where a parent wishes to move interstate or overseas with the child, and how to </w:t>
      </w:r>
      <w:r w:rsidR="009D0B11">
        <w:rPr>
          <w:b w:val="0"/>
          <w:bCs w:val="0"/>
          <w:sz w:val="20"/>
        </w:rPr>
        <w:t>obtain</w:t>
      </w:r>
      <w:r>
        <w:rPr>
          <w:b w:val="0"/>
          <w:bCs w:val="0"/>
          <w:sz w:val="20"/>
        </w:rPr>
        <w:t xml:space="preserve"> assistance in the form of spouse maintenance and child </w:t>
      </w:r>
      <w:r w:rsidR="009D0B11">
        <w:rPr>
          <w:b w:val="0"/>
          <w:bCs w:val="0"/>
          <w:sz w:val="20"/>
        </w:rPr>
        <w:t>support</w:t>
      </w:r>
      <w:r>
        <w:rPr>
          <w:b w:val="0"/>
          <w:bCs w:val="0"/>
          <w:sz w:val="20"/>
        </w:rPr>
        <w:t>.</w:t>
      </w:r>
    </w:p>
    <w:p w14:paraId="76C3BAE0" w14:textId="77777777" w:rsidR="00C6135B" w:rsidRDefault="00C6135B" w:rsidP="00DB1236">
      <w:pPr>
        <w:pStyle w:val="BodyText"/>
        <w:pBdr>
          <w:left w:val="threeDEmboss" w:sz="24" w:space="1" w:color="auto"/>
        </w:pBdr>
        <w:jc w:val="both"/>
        <w:rPr>
          <w:b w:val="0"/>
          <w:bCs w:val="0"/>
          <w:sz w:val="20"/>
        </w:rPr>
      </w:pPr>
    </w:p>
    <w:p w14:paraId="4DE50801" w14:textId="77777777" w:rsidR="00C6135B" w:rsidRDefault="00C6135B" w:rsidP="00DB1236">
      <w:pPr>
        <w:pStyle w:val="BodyText"/>
        <w:pBdr>
          <w:left w:val="threeDEmboss" w:sz="24" w:space="1" w:color="auto"/>
        </w:pBdr>
        <w:jc w:val="both"/>
        <w:rPr>
          <w:sz w:val="24"/>
          <w:u w:val="single"/>
        </w:rPr>
      </w:pPr>
      <w:r>
        <w:rPr>
          <w:sz w:val="24"/>
          <w:u w:val="single"/>
        </w:rPr>
        <w:t>Access Problems – Enforcement of Parenting Orders</w:t>
      </w:r>
    </w:p>
    <w:p w14:paraId="6670E61A" w14:textId="77777777" w:rsidR="00C6135B" w:rsidRDefault="00C6135B" w:rsidP="00DB1236">
      <w:pPr>
        <w:pStyle w:val="BodyText"/>
        <w:pBdr>
          <w:left w:val="threeDEmboss" w:sz="24" w:space="1" w:color="auto"/>
        </w:pBdr>
        <w:jc w:val="both"/>
        <w:rPr>
          <w:b w:val="0"/>
          <w:bCs w:val="0"/>
          <w:sz w:val="20"/>
        </w:rPr>
      </w:pPr>
    </w:p>
    <w:p w14:paraId="14386830"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Where orders relating to the parenting of children are in place, whether entered into by consent, or after a hearing by the Court, positive obligations are created on each party.</w:t>
      </w:r>
    </w:p>
    <w:p w14:paraId="5301ACC3" w14:textId="77777777" w:rsidR="00C6135B" w:rsidRDefault="00C6135B" w:rsidP="00DB1236">
      <w:pPr>
        <w:pStyle w:val="BodyText"/>
        <w:pBdr>
          <w:left w:val="threeDEmboss" w:sz="24" w:space="1" w:color="auto"/>
        </w:pBdr>
        <w:jc w:val="both"/>
        <w:rPr>
          <w:rFonts w:cs="Arial"/>
          <w:b w:val="0"/>
          <w:bCs w:val="0"/>
          <w:sz w:val="20"/>
          <w:szCs w:val="18"/>
        </w:rPr>
      </w:pPr>
    </w:p>
    <w:p w14:paraId="024D9EF1"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Not complying with such Orders can have serious consequences.</w:t>
      </w:r>
    </w:p>
    <w:p w14:paraId="76D73ED1" w14:textId="77777777" w:rsidR="00C6135B" w:rsidRDefault="00C6135B" w:rsidP="00DB1236">
      <w:pPr>
        <w:pStyle w:val="BodyText"/>
        <w:pBdr>
          <w:left w:val="threeDEmboss" w:sz="24" w:space="1" w:color="auto"/>
        </w:pBdr>
        <w:jc w:val="both"/>
        <w:rPr>
          <w:rFonts w:cs="Arial"/>
          <w:b w:val="0"/>
          <w:bCs w:val="0"/>
          <w:sz w:val="20"/>
          <w:szCs w:val="18"/>
        </w:rPr>
      </w:pPr>
    </w:p>
    <w:p w14:paraId="3A91CBC5" w14:textId="77777777" w:rsidR="00C6135B" w:rsidRDefault="00C6135B" w:rsidP="00DB1236">
      <w:pPr>
        <w:pStyle w:val="BodyText"/>
        <w:pBdr>
          <w:left w:val="threeDEmboss" w:sz="24" w:space="1" w:color="auto"/>
        </w:pBdr>
        <w:jc w:val="both"/>
        <w:rPr>
          <w:rFonts w:cs="Arial"/>
          <w:b w:val="0"/>
          <w:bCs w:val="0"/>
          <w:sz w:val="20"/>
          <w:szCs w:val="18"/>
          <w:u w:val="single"/>
        </w:rPr>
      </w:pPr>
      <w:r>
        <w:rPr>
          <w:rFonts w:cs="Arial"/>
          <w:b w:val="0"/>
          <w:bCs w:val="0"/>
          <w:sz w:val="20"/>
          <w:szCs w:val="18"/>
          <w:u w:val="single"/>
        </w:rPr>
        <w:t>What is “Contravention”?</w:t>
      </w:r>
    </w:p>
    <w:p w14:paraId="06430815" w14:textId="77777777" w:rsidR="00C6135B" w:rsidRDefault="00C6135B" w:rsidP="00DB1236">
      <w:pPr>
        <w:pStyle w:val="BodyText"/>
        <w:pBdr>
          <w:left w:val="threeDEmboss" w:sz="24" w:space="1" w:color="auto"/>
        </w:pBdr>
        <w:jc w:val="both"/>
        <w:rPr>
          <w:rFonts w:cs="Arial"/>
          <w:b w:val="0"/>
          <w:bCs w:val="0"/>
          <w:sz w:val="20"/>
          <w:szCs w:val="18"/>
          <w:u w:val="single"/>
        </w:rPr>
      </w:pPr>
    </w:p>
    <w:p w14:paraId="5499B3FE"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Parties must generally comply with the Orders and encourage contact with the child/children.</w:t>
      </w:r>
    </w:p>
    <w:p w14:paraId="279AF11D" w14:textId="77777777" w:rsidR="00C6135B" w:rsidRDefault="00C6135B" w:rsidP="00DB1236">
      <w:pPr>
        <w:pStyle w:val="BodyText"/>
        <w:pBdr>
          <w:left w:val="threeDEmboss" w:sz="24" w:space="1" w:color="auto"/>
        </w:pBdr>
        <w:jc w:val="both"/>
        <w:rPr>
          <w:rFonts w:cs="Arial"/>
          <w:b w:val="0"/>
          <w:bCs w:val="0"/>
          <w:sz w:val="20"/>
          <w:szCs w:val="18"/>
        </w:rPr>
      </w:pPr>
    </w:p>
    <w:p w14:paraId="7E20B734"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A person contravenes an order if they;</w:t>
      </w:r>
    </w:p>
    <w:p w14:paraId="482145A5" w14:textId="77777777" w:rsidR="00C6135B" w:rsidRDefault="00C6135B" w:rsidP="00DB1236">
      <w:pPr>
        <w:pStyle w:val="BodyText"/>
        <w:numPr>
          <w:ilvl w:val="0"/>
          <w:numId w:val="42"/>
        </w:numPr>
        <w:pBdr>
          <w:left w:val="threeDEmboss" w:sz="24" w:space="1" w:color="auto"/>
        </w:pBdr>
        <w:tabs>
          <w:tab w:val="clear" w:pos="644"/>
          <w:tab w:val="num" w:pos="540"/>
        </w:tabs>
        <w:ind w:left="0" w:firstLine="0"/>
        <w:jc w:val="both"/>
        <w:rPr>
          <w:rFonts w:cs="Arial"/>
          <w:b w:val="0"/>
          <w:bCs w:val="0"/>
          <w:sz w:val="20"/>
          <w:szCs w:val="18"/>
        </w:rPr>
      </w:pPr>
      <w:r>
        <w:rPr>
          <w:rFonts w:cs="Arial"/>
          <w:b w:val="0"/>
          <w:bCs w:val="0"/>
          <w:sz w:val="20"/>
          <w:szCs w:val="18"/>
        </w:rPr>
        <w:t>intentionally fail to comply; or</w:t>
      </w:r>
    </w:p>
    <w:p w14:paraId="3F79993E" w14:textId="77777777" w:rsidR="00C6135B" w:rsidRDefault="00C6135B" w:rsidP="00DB1236">
      <w:pPr>
        <w:pStyle w:val="BodyText"/>
        <w:numPr>
          <w:ilvl w:val="0"/>
          <w:numId w:val="42"/>
        </w:numPr>
        <w:pBdr>
          <w:left w:val="threeDEmboss" w:sz="24" w:space="1" w:color="auto"/>
        </w:pBdr>
        <w:tabs>
          <w:tab w:val="clear" w:pos="644"/>
          <w:tab w:val="num" w:pos="540"/>
        </w:tabs>
        <w:ind w:left="0" w:firstLine="0"/>
        <w:jc w:val="both"/>
        <w:rPr>
          <w:rFonts w:cs="Arial"/>
          <w:b w:val="0"/>
          <w:bCs w:val="0"/>
          <w:sz w:val="20"/>
          <w:szCs w:val="18"/>
        </w:rPr>
      </w:pPr>
      <w:r>
        <w:rPr>
          <w:rFonts w:cs="Arial"/>
          <w:b w:val="0"/>
          <w:bCs w:val="0"/>
          <w:sz w:val="20"/>
          <w:szCs w:val="18"/>
        </w:rPr>
        <w:t>make no reasonable attempt to comply, or</w:t>
      </w:r>
    </w:p>
    <w:p w14:paraId="36F8B23F" w14:textId="77777777" w:rsidR="00C6135B" w:rsidRDefault="00C6135B" w:rsidP="00DB1236">
      <w:pPr>
        <w:pStyle w:val="BodyText"/>
        <w:numPr>
          <w:ilvl w:val="0"/>
          <w:numId w:val="42"/>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sz w:val="20"/>
          <w:szCs w:val="18"/>
        </w:rPr>
        <w:t>intentionally prevent compliance/aid a contravention of the order by a person bound by it.</w:t>
      </w:r>
    </w:p>
    <w:p w14:paraId="7DDAE2BD" w14:textId="77777777" w:rsidR="00C6135B" w:rsidRDefault="00C6135B" w:rsidP="00DB1236">
      <w:pPr>
        <w:pStyle w:val="BodyText"/>
        <w:pBdr>
          <w:left w:val="threeDEmboss" w:sz="24" w:space="1" w:color="auto"/>
        </w:pBdr>
        <w:jc w:val="both"/>
        <w:rPr>
          <w:rFonts w:cs="Arial"/>
          <w:b w:val="0"/>
          <w:bCs w:val="0"/>
          <w:sz w:val="20"/>
          <w:szCs w:val="18"/>
        </w:rPr>
      </w:pPr>
    </w:p>
    <w:p w14:paraId="51397448"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 xml:space="preserve">A person will not contravene an order where they have a “reasonable excuse” for not complying, and the resulting </w:t>
      </w:r>
      <w:r w:rsidR="008813CA">
        <w:rPr>
          <w:rFonts w:cs="Arial"/>
          <w:b w:val="0"/>
          <w:bCs w:val="0"/>
          <w:sz w:val="20"/>
          <w:szCs w:val="18"/>
        </w:rPr>
        <w:t xml:space="preserve">disrupted living arrangement </w:t>
      </w:r>
      <w:r>
        <w:rPr>
          <w:rFonts w:cs="Arial"/>
          <w:b w:val="0"/>
          <w:bCs w:val="0"/>
          <w:sz w:val="20"/>
          <w:szCs w:val="18"/>
        </w:rPr>
        <w:t>period was not longer than was necessary in the circumstances.  Examples include where a party does not understand their obligations, or where they believed the contravention was necessary to protect the health/safety of a person.</w:t>
      </w:r>
    </w:p>
    <w:p w14:paraId="242EBF4E" w14:textId="77777777" w:rsidR="00C6135B" w:rsidRDefault="00C6135B" w:rsidP="00DB1236">
      <w:pPr>
        <w:pStyle w:val="BodyText"/>
        <w:pBdr>
          <w:left w:val="threeDEmboss" w:sz="24" w:space="1" w:color="auto"/>
        </w:pBdr>
        <w:jc w:val="both"/>
        <w:rPr>
          <w:rFonts w:cs="Arial"/>
          <w:b w:val="0"/>
          <w:bCs w:val="0"/>
          <w:sz w:val="20"/>
          <w:szCs w:val="18"/>
        </w:rPr>
      </w:pPr>
    </w:p>
    <w:p w14:paraId="306DE250" w14:textId="77777777" w:rsidR="00C6135B" w:rsidRDefault="00C6135B" w:rsidP="00DB1236">
      <w:pPr>
        <w:pStyle w:val="BodyText"/>
        <w:pBdr>
          <w:left w:val="threeDEmboss" w:sz="24" w:space="1" w:color="auto"/>
        </w:pBdr>
        <w:jc w:val="both"/>
        <w:rPr>
          <w:rFonts w:cs="Arial"/>
          <w:b w:val="0"/>
          <w:bCs w:val="0"/>
          <w:sz w:val="20"/>
          <w:szCs w:val="18"/>
          <w:u w:val="single"/>
        </w:rPr>
      </w:pPr>
      <w:r>
        <w:rPr>
          <w:rFonts w:cs="Arial"/>
          <w:b w:val="0"/>
          <w:bCs w:val="0"/>
          <w:sz w:val="20"/>
          <w:szCs w:val="18"/>
          <w:u w:val="single"/>
        </w:rPr>
        <w:t>Enforcement</w:t>
      </w:r>
    </w:p>
    <w:p w14:paraId="028FDBC7" w14:textId="77777777" w:rsidR="00C6135B" w:rsidRDefault="00C6135B" w:rsidP="00DB1236">
      <w:pPr>
        <w:pStyle w:val="BodyText"/>
        <w:pBdr>
          <w:left w:val="threeDEmboss" w:sz="24" w:space="1" w:color="auto"/>
        </w:pBdr>
        <w:jc w:val="both"/>
        <w:rPr>
          <w:rFonts w:cs="Arial"/>
          <w:b w:val="0"/>
          <w:bCs w:val="0"/>
          <w:sz w:val="20"/>
          <w:szCs w:val="18"/>
          <w:u w:val="single"/>
        </w:rPr>
      </w:pPr>
    </w:p>
    <w:p w14:paraId="63EF040F"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Enforcement proceedings may be taken in relation to contravention of parenting orders.</w:t>
      </w:r>
      <w:r w:rsidR="00FF3597">
        <w:rPr>
          <w:rFonts w:cs="Arial"/>
          <w:b w:val="0"/>
          <w:bCs w:val="0"/>
          <w:sz w:val="20"/>
          <w:szCs w:val="18"/>
        </w:rPr>
        <w:t xml:space="preserve"> </w:t>
      </w:r>
      <w:r>
        <w:rPr>
          <w:rFonts w:cs="Arial"/>
          <w:b w:val="0"/>
          <w:bCs w:val="0"/>
          <w:sz w:val="20"/>
          <w:szCs w:val="18"/>
        </w:rPr>
        <w:t xml:space="preserve">The </w:t>
      </w:r>
      <w:r>
        <w:rPr>
          <w:rFonts w:cs="Arial"/>
          <w:b w:val="0"/>
          <w:bCs w:val="0"/>
          <w:i/>
          <w:iCs/>
          <w:sz w:val="20"/>
          <w:szCs w:val="18"/>
        </w:rPr>
        <w:t>Family Law Act 1975</w:t>
      </w:r>
      <w:r w:rsidR="008813CA">
        <w:rPr>
          <w:rFonts w:cs="Arial"/>
          <w:b w:val="0"/>
          <w:bCs w:val="0"/>
          <w:sz w:val="20"/>
          <w:szCs w:val="18"/>
        </w:rPr>
        <w:t xml:space="preserve"> divides </w:t>
      </w:r>
      <w:r>
        <w:rPr>
          <w:rFonts w:cs="Arial"/>
          <w:b w:val="0"/>
          <w:bCs w:val="0"/>
          <w:sz w:val="20"/>
          <w:szCs w:val="18"/>
        </w:rPr>
        <w:t>co</w:t>
      </w:r>
      <w:r w:rsidR="008813CA">
        <w:rPr>
          <w:rFonts w:cs="Arial"/>
          <w:b w:val="0"/>
          <w:bCs w:val="0"/>
          <w:sz w:val="20"/>
          <w:szCs w:val="18"/>
        </w:rPr>
        <w:t>nsequences of breaching</w:t>
      </w:r>
      <w:r>
        <w:rPr>
          <w:rFonts w:cs="Arial"/>
          <w:b w:val="0"/>
          <w:bCs w:val="0"/>
          <w:sz w:val="20"/>
          <w:szCs w:val="18"/>
        </w:rPr>
        <w:t xml:space="preserve"> parenting orders</w:t>
      </w:r>
      <w:r w:rsidR="008813CA">
        <w:rPr>
          <w:rFonts w:cs="Arial"/>
          <w:b w:val="0"/>
          <w:bCs w:val="0"/>
          <w:sz w:val="20"/>
          <w:szCs w:val="18"/>
        </w:rPr>
        <w:t xml:space="preserve"> into 4 categories</w:t>
      </w:r>
      <w:r>
        <w:rPr>
          <w:rFonts w:cs="Arial"/>
          <w:b w:val="0"/>
          <w:bCs w:val="0"/>
          <w:sz w:val="20"/>
          <w:szCs w:val="18"/>
        </w:rPr>
        <w:t>;</w:t>
      </w:r>
    </w:p>
    <w:p w14:paraId="637B9814" w14:textId="77777777" w:rsidR="00C6135B" w:rsidRDefault="008813CA" w:rsidP="00DB1236">
      <w:pPr>
        <w:pStyle w:val="BodyText"/>
        <w:numPr>
          <w:ilvl w:val="0"/>
          <w:numId w:val="38"/>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i/>
          <w:iCs/>
          <w:sz w:val="20"/>
          <w:szCs w:val="18"/>
        </w:rPr>
        <w:t>Contravention alleged but not established</w:t>
      </w:r>
      <w:r w:rsidR="00C6135B">
        <w:rPr>
          <w:rFonts w:cs="Arial"/>
          <w:b w:val="0"/>
          <w:bCs w:val="0"/>
          <w:sz w:val="20"/>
          <w:szCs w:val="18"/>
        </w:rPr>
        <w:t>:</w:t>
      </w:r>
      <w:r>
        <w:rPr>
          <w:rFonts w:cs="Arial"/>
          <w:b w:val="0"/>
          <w:bCs w:val="0"/>
          <w:sz w:val="20"/>
          <w:szCs w:val="18"/>
        </w:rPr>
        <w:t xml:space="preserve"> generally application dismissed, but costs can be awarded against complainant and Court may vary the Parenting Order</w:t>
      </w:r>
      <w:r w:rsidR="00C6135B">
        <w:rPr>
          <w:rFonts w:cs="Arial"/>
          <w:b w:val="0"/>
          <w:bCs w:val="0"/>
          <w:sz w:val="20"/>
          <w:szCs w:val="18"/>
        </w:rPr>
        <w:t>;</w:t>
      </w:r>
    </w:p>
    <w:p w14:paraId="178625F0" w14:textId="77777777" w:rsidR="00C6135B" w:rsidRDefault="008813CA" w:rsidP="00DB1236">
      <w:pPr>
        <w:pStyle w:val="BodyText"/>
        <w:numPr>
          <w:ilvl w:val="0"/>
          <w:numId w:val="38"/>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i/>
          <w:iCs/>
          <w:sz w:val="20"/>
          <w:szCs w:val="18"/>
        </w:rPr>
        <w:t>Contravention Established, but Reasonable Excuse established</w:t>
      </w:r>
      <w:r w:rsidR="00C6135B">
        <w:rPr>
          <w:rFonts w:cs="Arial"/>
          <w:b w:val="0"/>
          <w:bCs w:val="0"/>
          <w:sz w:val="20"/>
          <w:szCs w:val="18"/>
        </w:rPr>
        <w:t>:</w:t>
      </w:r>
      <w:r>
        <w:rPr>
          <w:rFonts w:cs="Arial"/>
          <w:b w:val="0"/>
          <w:bCs w:val="0"/>
          <w:sz w:val="20"/>
          <w:szCs w:val="18"/>
        </w:rPr>
        <w:t xml:space="preserve"> Once the contravention is proved, the Court</w:t>
      </w:r>
      <w:r w:rsidR="00C6135B">
        <w:rPr>
          <w:rFonts w:cs="Arial"/>
          <w:b w:val="0"/>
          <w:bCs w:val="0"/>
          <w:sz w:val="20"/>
          <w:szCs w:val="18"/>
        </w:rPr>
        <w:t xml:space="preserve"> </w:t>
      </w:r>
      <w:r>
        <w:rPr>
          <w:rFonts w:cs="Arial"/>
          <w:b w:val="0"/>
          <w:bCs w:val="0"/>
          <w:sz w:val="20"/>
          <w:szCs w:val="18"/>
        </w:rPr>
        <w:t xml:space="preserve">can </w:t>
      </w:r>
      <w:r w:rsidR="00C6135B">
        <w:rPr>
          <w:rFonts w:cs="Arial"/>
          <w:b w:val="0"/>
          <w:bCs w:val="0"/>
          <w:sz w:val="20"/>
          <w:szCs w:val="18"/>
        </w:rPr>
        <w:t xml:space="preserve">make orders to “compensate” the </w:t>
      </w:r>
      <w:r>
        <w:rPr>
          <w:rFonts w:cs="Arial"/>
          <w:b w:val="0"/>
          <w:bCs w:val="0"/>
          <w:sz w:val="20"/>
          <w:szCs w:val="18"/>
        </w:rPr>
        <w:t>complainant</w:t>
      </w:r>
      <w:r w:rsidR="00C6135B">
        <w:rPr>
          <w:rFonts w:cs="Arial"/>
          <w:b w:val="0"/>
          <w:bCs w:val="0"/>
          <w:sz w:val="20"/>
          <w:szCs w:val="18"/>
        </w:rPr>
        <w:t xml:space="preserve"> for </w:t>
      </w:r>
      <w:r>
        <w:rPr>
          <w:rFonts w:cs="Arial"/>
          <w:b w:val="0"/>
          <w:bCs w:val="0"/>
          <w:sz w:val="20"/>
          <w:szCs w:val="18"/>
        </w:rPr>
        <w:t>the</w:t>
      </w:r>
      <w:r w:rsidR="00796CAD">
        <w:rPr>
          <w:rFonts w:cs="Arial"/>
          <w:b w:val="0"/>
          <w:bCs w:val="0"/>
          <w:sz w:val="20"/>
          <w:szCs w:val="18"/>
        </w:rPr>
        <w:t xml:space="preserve"> lost time spent with the child/ren and may order costs against the complainant</w:t>
      </w:r>
      <w:r w:rsidR="00C6135B">
        <w:rPr>
          <w:rFonts w:cs="Arial"/>
          <w:b w:val="0"/>
          <w:bCs w:val="0"/>
          <w:sz w:val="20"/>
          <w:szCs w:val="18"/>
        </w:rPr>
        <w:t>;</w:t>
      </w:r>
    </w:p>
    <w:p w14:paraId="106A2688" w14:textId="77777777" w:rsidR="00796CAD" w:rsidRDefault="00796CAD" w:rsidP="00DB1236">
      <w:pPr>
        <w:pStyle w:val="BodyText"/>
        <w:numPr>
          <w:ilvl w:val="0"/>
          <w:numId w:val="38"/>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i/>
          <w:iCs/>
          <w:sz w:val="20"/>
          <w:szCs w:val="18"/>
        </w:rPr>
        <w:t>Contravention without Reasonable Excuse (less serious)</w:t>
      </w:r>
      <w:r w:rsidR="00C6135B">
        <w:rPr>
          <w:rFonts w:cs="Arial"/>
          <w:b w:val="0"/>
          <w:bCs w:val="0"/>
          <w:sz w:val="20"/>
          <w:szCs w:val="18"/>
        </w:rPr>
        <w:t xml:space="preserve">: for a </w:t>
      </w:r>
      <w:r>
        <w:rPr>
          <w:rFonts w:cs="Arial"/>
          <w:b w:val="0"/>
          <w:bCs w:val="0"/>
          <w:sz w:val="20"/>
          <w:szCs w:val="18"/>
        </w:rPr>
        <w:t>first time breach, the Court can order the person to enter into a bond (with conditions such as attending counselling) and that the contravening party participate in a post-separation parenting program.</w:t>
      </w:r>
    </w:p>
    <w:p w14:paraId="5354E7AD" w14:textId="77777777" w:rsidR="00C6135B" w:rsidRDefault="00796CAD" w:rsidP="00DB1236">
      <w:pPr>
        <w:pStyle w:val="BodyText"/>
        <w:numPr>
          <w:ilvl w:val="0"/>
          <w:numId w:val="38"/>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i/>
          <w:iCs/>
          <w:sz w:val="20"/>
          <w:szCs w:val="18"/>
        </w:rPr>
        <w:t>Cont</w:t>
      </w:r>
      <w:r w:rsidR="00FF3597">
        <w:rPr>
          <w:rFonts w:cs="Arial"/>
          <w:b w:val="0"/>
          <w:bCs w:val="0"/>
          <w:i/>
          <w:iCs/>
          <w:sz w:val="20"/>
          <w:szCs w:val="18"/>
        </w:rPr>
        <w:t>r</w:t>
      </w:r>
      <w:r>
        <w:rPr>
          <w:rFonts w:cs="Arial"/>
          <w:b w:val="0"/>
          <w:bCs w:val="0"/>
          <w:i/>
          <w:iCs/>
          <w:sz w:val="20"/>
          <w:szCs w:val="18"/>
        </w:rPr>
        <w:t>avention without Reasonable Excuse (more serious)</w:t>
      </w:r>
      <w:r w:rsidRPr="00796CAD">
        <w:rPr>
          <w:rFonts w:cs="Arial"/>
          <w:b w:val="0"/>
          <w:bCs w:val="0"/>
          <w:sz w:val="20"/>
          <w:szCs w:val="18"/>
        </w:rPr>
        <w:t>:</w:t>
      </w:r>
      <w:r>
        <w:rPr>
          <w:rFonts w:cs="Arial"/>
          <w:b w:val="0"/>
          <w:bCs w:val="0"/>
          <w:sz w:val="20"/>
          <w:szCs w:val="18"/>
        </w:rPr>
        <w:t xml:space="preserve"> Where previous contravention has been established at Court, Orders can </w:t>
      </w:r>
      <w:r w:rsidR="00C6135B">
        <w:rPr>
          <w:rFonts w:cs="Arial"/>
          <w:b w:val="0"/>
          <w:bCs w:val="0"/>
          <w:sz w:val="20"/>
          <w:szCs w:val="18"/>
        </w:rPr>
        <w:t>include;</w:t>
      </w:r>
    </w:p>
    <w:p w14:paraId="7B48C17E" w14:textId="77777777" w:rsidR="00C6135B" w:rsidRDefault="00C6135B" w:rsidP="00DB1236">
      <w:pPr>
        <w:pStyle w:val="BodyText"/>
        <w:numPr>
          <w:ilvl w:val="0"/>
          <w:numId w:val="37"/>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sz w:val="20"/>
          <w:szCs w:val="18"/>
        </w:rPr>
        <w:t xml:space="preserve">Varying the orders – including changing </w:t>
      </w:r>
      <w:r w:rsidR="00796CAD">
        <w:rPr>
          <w:rFonts w:cs="Arial"/>
          <w:b w:val="0"/>
          <w:bCs w:val="0"/>
          <w:sz w:val="20"/>
          <w:szCs w:val="18"/>
        </w:rPr>
        <w:t>living arrangements</w:t>
      </w:r>
      <w:r>
        <w:rPr>
          <w:rFonts w:cs="Arial"/>
          <w:b w:val="0"/>
          <w:bCs w:val="0"/>
          <w:sz w:val="20"/>
          <w:szCs w:val="18"/>
        </w:rPr>
        <w:t xml:space="preserve"> from one parent to the other;</w:t>
      </w:r>
    </w:p>
    <w:p w14:paraId="31340353" w14:textId="77777777" w:rsidR="00C6135B" w:rsidRDefault="00C6135B" w:rsidP="00DB1236">
      <w:pPr>
        <w:pStyle w:val="BodyText"/>
        <w:numPr>
          <w:ilvl w:val="0"/>
          <w:numId w:val="37"/>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sz w:val="20"/>
          <w:szCs w:val="18"/>
        </w:rPr>
        <w:t>Imposition of community service orders;</w:t>
      </w:r>
    </w:p>
    <w:p w14:paraId="33704711" w14:textId="77777777" w:rsidR="00C6135B" w:rsidRDefault="00C6135B" w:rsidP="00DB1236">
      <w:pPr>
        <w:pStyle w:val="BodyText"/>
        <w:numPr>
          <w:ilvl w:val="0"/>
          <w:numId w:val="37"/>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sz w:val="20"/>
          <w:szCs w:val="18"/>
        </w:rPr>
        <w:t>Imposition of a bond or fine;</w:t>
      </w:r>
    </w:p>
    <w:p w14:paraId="75632EB0" w14:textId="77777777" w:rsidR="00C6135B" w:rsidRDefault="00C6135B" w:rsidP="00DB1236">
      <w:pPr>
        <w:pStyle w:val="BodyText"/>
        <w:numPr>
          <w:ilvl w:val="0"/>
          <w:numId w:val="37"/>
        </w:numPr>
        <w:pBdr>
          <w:left w:val="threeDEmboss" w:sz="24" w:space="1" w:color="auto"/>
        </w:pBdr>
        <w:tabs>
          <w:tab w:val="clear" w:pos="644"/>
          <w:tab w:val="num" w:pos="540"/>
        </w:tabs>
        <w:ind w:left="540" w:hanging="540"/>
        <w:jc w:val="both"/>
        <w:rPr>
          <w:rFonts w:cs="Arial"/>
          <w:b w:val="0"/>
          <w:bCs w:val="0"/>
          <w:sz w:val="20"/>
          <w:szCs w:val="18"/>
        </w:rPr>
      </w:pPr>
      <w:r>
        <w:rPr>
          <w:rFonts w:cs="Arial"/>
          <w:b w:val="0"/>
          <w:bCs w:val="0"/>
          <w:sz w:val="20"/>
          <w:szCs w:val="18"/>
        </w:rPr>
        <w:t>Imprisonment.</w:t>
      </w:r>
    </w:p>
    <w:p w14:paraId="79031C22" w14:textId="77777777" w:rsidR="00FF3597" w:rsidRDefault="00FF3597" w:rsidP="00DB1236">
      <w:pPr>
        <w:pStyle w:val="BodyText"/>
        <w:pBdr>
          <w:left w:val="threeDEmboss" w:sz="24" w:space="1" w:color="auto"/>
        </w:pBdr>
        <w:jc w:val="both"/>
        <w:rPr>
          <w:rFonts w:cs="Arial"/>
          <w:sz w:val="24"/>
          <w:szCs w:val="18"/>
          <w:u w:val="single"/>
        </w:rPr>
      </w:pPr>
    </w:p>
    <w:p w14:paraId="075B2A7C" w14:textId="77777777" w:rsidR="00C6135B" w:rsidRDefault="00C6135B" w:rsidP="00DB1236">
      <w:pPr>
        <w:pStyle w:val="BodyText"/>
        <w:pBdr>
          <w:left w:val="threeDEmboss" w:sz="24" w:space="1" w:color="auto"/>
        </w:pBdr>
        <w:jc w:val="both"/>
        <w:rPr>
          <w:rFonts w:cs="Arial"/>
          <w:sz w:val="24"/>
          <w:szCs w:val="18"/>
          <w:u w:val="single"/>
        </w:rPr>
      </w:pPr>
      <w:r>
        <w:rPr>
          <w:rFonts w:cs="Arial"/>
          <w:sz w:val="24"/>
          <w:szCs w:val="18"/>
          <w:u w:val="single"/>
        </w:rPr>
        <w:t>Relocation – Interstate, Rural or Overseas Moves</w:t>
      </w:r>
    </w:p>
    <w:p w14:paraId="4F797A56" w14:textId="77777777" w:rsidR="00C6135B" w:rsidRDefault="00C6135B" w:rsidP="00DB1236">
      <w:pPr>
        <w:pStyle w:val="BodyText"/>
        <w:pBdr>
          <w:left w:val="threeDEmboss" w:sz="24" w:space="1" w:color="auto"/>
        </w:pBdr>
        <w:ind w:left="360" w:hanging="360"/>
        <w:jc w:val="both"/>
        <w:rPr>
          <w:rFonts w:cs="Arial"/>
          <w:b w:val="0"/>
          <w:bCs w:val="0"/>
          <w:sz w:val="20"/>
          <w:szCs w:val="18"/>
        </w:rPr>
      </w:pPr>
    </w:p>
    <w:p w14:paraId="0257244A"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 xml:space="preserve">Sometimes a parent with </w:t>
      </w:r>
      <w:r w:rsidR="00FF3597">
        <w:rPr>
          <w:rFonts w:cs="Arial"/>
          <w:b w:val="0"/>
          <w:bCs w:val="0"/>
          <w:sz w:val="20"/>
          <w:szCs w:val="18"/>
        </w:rPr>
        <w:t>whom the</w:t>
      </w:r>
      <w:r>
        <w:rPr>
          <w:rFonts w:cs="Arial"/>
          <w:b w:val="0"/>
          <w:bCs w:val="0"/>
          <w:sz w:val="20"/>
          <w:szCs w:val="18"/>
        </w:rPr>
        <w:t xml:space="preserve"> child</w:t>
      </w:r>
      <w:r w:rsidR="00FF3597">
        <w:rPr>
          <w:rFonts w:cs="Arial"/>
          <w:b w:val="0"/>
          <w:bCs w:val="0"/>
          <w:sz w:val="20"/>
          <w:szCs w:val="18"/>
        </w:rPr>
        <w:t>/ren live</w:t>
      </w:r>
      <w:r>
        <w:rPr>
          <w:rFonts w:cs="Arial"/>
          <w:b w:val="0"/>
          <w:bCs w:val="0"/>
          <w:sz w:val="20"/>
          <w:szCs w:val="18"/>
        </w:rPr>
        <w:t xml:space="preserve"> may wish to relocate interstate, overseas or to a rural area.  This may be because;</w:t>
      </w:r>
    </w:p>
    <w:p w14:paraId="6417E5B3" w14:textId="77777777" w:rsidR="00C6135B" w:rsidRDefault="00C6135B" w:rsidP="00DB1236">
      <w:pPr>
        <w:pStyle w:val="BodyText"/>
        <w:numPr>
          <w:ilvl w:val="0"/>
          <w:numId w:val="31"/>
        </w:numPr>
        <w:pBdr>
          <w:left w:val="threeDEmboss" w:sz="24" w:space="1" w:color="auto"/>
        </w:pBdr>
        <w:tabs>
          <w:tab w:val="clear" w:pos="720"/>
          <w:tab w:val="num" w:pos="540"/>
        </w:tabs>
        <w:ind w:left="540" w:hanging="540"/>
        <w:jc w:val="both"/>
        <w:rPr>
          <w:rFonts w:cs="Arial"/>
          <w:b w:val="0"/>
          <w:bCs w:val="0"/>
          <w:sz w:val="20"/>
          <w:szCs w:val="18"/>
        </w:rPr>
      </w:pPr>
      <w:r>
        <w:rPr>
          <w:rFonts w:cs="Arial"/>
          <w:b w:val="0"/>
          <w:bCs w:val="0"/>
          <w:sz w:val="20"/>
          <w:szCs w:val="18"/>
        </w:rPr>
        <w:t>the parent is offered a job interstate/overseas;</w:t>
      </w:r>
    </w:p>
    <w:p w14:paraId="03D3F46D" w14:textId="77777777" w:rsidR="00C6135B" w:rsidRDefault="00C6135B" w:rsidP="00DB1236">
      <w:pPr>
        <w:pStyle w:val="BodyText"/>
        <w:numPr>
          <w:ilvl w:val="0"/>
          <w:numId w:val="31"/>
        </w:numPr>
        <w:pBdr>
          <w:left w:val="threeDEmboss" w:sz="24" w:space="1" w:color="auto"/>
        </w:pBdr>
        <w:tabs>
          <w:tab w:val="clear" w:pos="720"/>
          <w:tab w:val="num" w:pos="540"/>
        </w:tabs>
        <w:ind w:left="540" w:hanging="540"/>
        <w:jc w:val="both"/>
        <w:rPr>
          <w:rFonts w:cs="Arial"/>
          <w:b w:val="0"/>
          <w:bCs w:val="0"/>
          <w:sz w:val="20"/>
          <w:szCs w:val="18"/>
        </w:rPr>
      </w:pPr>
      <w:r>
        <w:rPr>
          <w:rFonts w:cs="Arial"/>
          <w:b w:val="0"/>
          <w:bCs w:val="0"/>
          <w:sz w:val="20"/>
          <w:szCs w:val="18"/>
        </w:rPr>
        <w:t>the parent wishes to move to their place of origin;</w:t>
      </w:r>
    </w:p>
    <w:p w14:paraId="7554AF65" w14:textId="77777777" w:rsidR="00C6135B" w:rsidRDefault="00C6135B" w:rsidP="00DB1236">
      <w:pPr>
        <w:pStyle w:val="BodyText"/>
        <w:numPr>
          <w:ilvl w:val="0"/>
          <w:numId w:val="31"/>
        </w:numPr>
        <w:pBdr>
          <w:left w:val="threeDEmboss" w:sz="24" w:space="1" w:color="auto"/>
        </w:pBdr>
        <w:tabs>
          <w:tab w:val="clear" w:pos="720"/>
          <w:tab w:val="num" w:pos="540"/>
        </w:tabs>
        <w:ind w:left="540" w:hanging="540"/>
        <w:jc w:val="both"/>
        <w:rPr>
          <w:rFonts w:cs="Arial"/>
          <w:b w:val="0"/>
          <w:bCs w:val="0"/>
          <w:sz w:val="20"/>
          <w:szCs w:val="18"/>
        </w:rPr>
      </w:pPr>
      <w:r>
        <w:rPr>
          <w:rFonts w:cs="Arial"/>
          <w:b w:val="0"/>
          <w:bCs w:val="0"/>
          <w:sz w:val="20"/>
          <w:szCs w:val="18"/>
        </w:rPr>
        <w:t>the parent needs to relocate in order to care for a relative;</w:t>
      </w:r>
    </w:p>
    <w:p w14:paraId="4CD99F91" w14:textId="77777777" w:rsidR="00C6135B" w:rsidRDefault="00C6135B" w:rsidP="00DB1236">
      <w:pPr>
        <w:pStyle w:val="BodyText"/>
        <w:numPr>
          <w:ilvl w:val="0"/>
          <w:numId w:val="31"/>
        </w:numPr>
        <w:pBdr>
          <w:left w:val="threeDEmboss" w:sz="24" w:space="1" w:color="auto"/>
        </w:pBdr>
        <w:tabs>
          <w:tab w:val="clear" w:pos="720"/>
          <w:tab w:val="num" w:pos="540"/>
        </w:tabs>
        <w:ind w:left="540" w:hanging="540"/>
        <w:jc w:val="both"/>
        <w:rPr>
          <w:rFonts w:cs="Arial"/>
          <w:b w:val="0"/>
          <w:bCs w:val="0"/>
          <w:sz w:val="20"/>
          <w:szCs w:val="18"/>
        </w:rPr>
      </w:pPr>
      <w:r>
        <w:rPr>
          <w:rFonts w:cs="Arial"/>
          <w:b w:val="0"/>
          <w:bCs w:val="0"/>
          <w:sz w:val="20"/>
          <w:szCs w:val="18"/>
        </w:rPr>
        <w:t>the parent would be financially better off elsewhere.</w:t>
      </w:r>
    </w:p>
    <w:p w14:paraId="53CB4A7A" w14:textId="77777777" w:rsidR="00C6135B" w:rsidRDefault="00C6135B" w:rsidP="00DB1236">
      <w:pPr>
        <w:pStyle w:val="BodyText"/>
        <w:pBdr>
          <w:left w:val="threeDEmboss" w:sz="24" w:space="1" w:color="auto"/>
        </w:pBdr>
        <w:ind w:left="360" w:hanging="360"/>
        <w:jc w:val="both"/>
        <w:rPr>
          <w:rFonts w:cs="Arial"/>
          <w:b w:val="0"/>
          <w:bCs w:val="0"/>
          <w:sz w:val="20"/>
          <w:szCs w:val="18"/>
        </w:rPr>
      </w:pPr>
    </w:p>
    <w:p w14:paraId="38F50B21"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 xml:space="preserve">In </w:t>
      </w:r>
      <w:r>
        <w:rPr>
          <w:rFonts w:cs="Arial"/>
          <w:b w:val="0"/>
          <w:bCs w:val="0"/>
          <w:i/>
          <w:iCs/>
          <w:sz w:val="20"/>
          <w:szCs w:val="18"/>
        </w:rPr>
        <w:t>AMS v AIF and AIF v AMS</w:t>
      </w:r>
      <w:r>
        <w:rPr>
          <w:rFonts w:cs="Arial"/>
          <w:b w:val="0"/>
          <w:bCs w:val="0"/>
          <w:sz w:val="20"/>
          <w:szCs w:val="18"/>
        </w:rPr>
        <w:t xml:space="preserve"> ([1999] HCA 26), the High Court found that where a party with residence wishes to “relocate”, it is not necessary for that parent to show “compelling reasons” for the move.  The Court will primarily consider the best interests of the child, balanced with the right of the parties to enjoy their freedom of movement.</w:t>
      </w:r>
    </w:p>
    <w:p w14:paraId="2BB8BE8A" w14:textId="77777777" w:rsidR="00C6135B" w:rsidRDefault="00C6135B" w:rsidP="00DB1236">
      <w:pPr>
        <w:pStyle w:val="BodyText"/>
        <w:pBdr>
          <w:left w:val="threeDEmboss" w:sz="24" w:space="1" w:color="auto"/>
        </w:pBdr>
        <w:ind w:left="360" w:hanging="360"/>
        <w:jc w:val="both"/>
        <w:rPr>
          <w:rFonts w:cs="Arial"/>
          <w:b w:val="0"/>
          <w:bCs w:val="0"/>
          <w:sz w:val="20"/>
          <w:szCs w:val="18"/>
        </w:rPr>
      </w:pPr>
    </w:p>
    <w:p w14:paraId="69728DE5" w14:textId="77777777" w:rsidR="00C6135B" w:rsidRDefault="00C6135B" w:rsidP="00DB1236">
      <w:pPr>
        <w:pStyle w:val="BodyText"/>
        <w:pBdr>
          <w:left w:val="threeDEmboss" w:sz="24" w:space="1" w:color="auto"/>
        </w:pBdr>
        <w:jc w:val="both"/>
        <w:rPr>
          <w:rFonts w:cs="Arial"/>
          <w:b w:val="0"/>
          <w:bCs w:val="0"/>
          <w:sz w:val="20"/>
          <w:szCs w:val="18"/>
        </w:rPr>
      </w:pPr>
      <w:r>
        <w:rPr>
          <w:rFonts w:cs="Arial"/>
          <w:b w:val="0"/>
          <w:bCs w:val="0"/>
          <w:sz w:val="20"/>
          <w:szCs w:val="18"/>
        </w:rPr>
        <w:t xml:space="preserve">Subsequent cases in the Family Court have approved </w:t>
      </w:r>
      <w:r>
        <w:rPr>
          <w:rFonts w:cs="Arial"/>
          <w:b w:val="0"/>
          <w:bCs w:val="0"/>
          <w:i/>
          <w:iCs/>
          <w:sz w:val="20"/>
          <w:szCs w:val="18"/>
        </w:rPr>
        <w:t>AMS</w:t>
      </w:r>
      <w:r>
        <w:rPr>
          <w:rFonts w:cs="Arial"/>
          <w:b w:val="0"/>
          <w:bCs w:val="0"/>
          <w:sz w:val="20"/>
          <w:szCs w:val="18"/>
        </w:rPr>
        <w:t>, and further outlined the necessary considerations when determining whether a relocation should be favoured;</w:t>
      </w:r>
    </w:p>
    <w:p w14:paraId="6ABA7B42" w14:textId="77777777" w:rsidR="00C6135B" w:rsidRDefault="00C6135B" w:rsidP="00DB1236">
      <w:pPr>
        <w:pStyle w:val="BodyText"/>
        <w:numPr>
          <w:ilvl w:val="0"/>
          <w:numId w:val="41"/>
        </w:numPr>
        <w:pBdr>
          <w:left w:val="threeDEmboss" w:sz="24" w:space="1" w:color="auto"/>
        </w:pBdr>
        <w:tabs>
          <w:tab w:val="clear" w:pos="720"/>
          <w:tab w:val="num" w:pos="540"/>
        </w:tabs>
        <w:ind w:left="540" w:hanging="540"/>
        <w:jc w:val="both"/>
        <w:rPr>
          <w:rFonts w:cs="Arial"/>
          <w:b w:val="0"/>
          <w:bCs w:val="0"/>
          <w:sz w:val="20"/>
          <w:szCs w:val="18"/>
        </w:rPr>
      </w:pPr>
      <w:r>
        <w:rPr>
          <w:rFonts w:cs="Arial"/>
          <w:b w:val="0"/>
          <w:bCs w:val="0"/>
          <w:sz w:val="20"/>
          <w:szCs w:val="18"/>
        </w:rPr>
        <w:t xml:space="preserve">The legitimate interests of both parents will be reviewed, and the Court will identify </w:t>
      </w:r>
      <w:r>
        <w:rPr>
          <w:rFonts w:cs="Arial"/>
          <w:b w:val="0"/>
          <w:bCs w:val="0"/>
          <w:sz w:val="20"/>
          <w:szCs w:val="18"/>
        </w:rPr>
        <w:lastRenderedPageBreak/>
        <w:t>which proposal is preferable, taking into account the best interests of the child as being paramount;</w:t>
      </w:r>
    </w:p>
    <w:p w14:paraId="0F17707E" w14:textId="77777777" w:rsidR="00C6135B" w:rsidRDefault="00C6135B" w:rsidP="00DB1236">
      <w:pPr>
        <w:pStyle w:val="BodyText"/>
        <w:numPr>
          <w:ilvl w:val="0"/>
          <w:numId w:val="4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 xml:space="preserve">The Court will consider the need to ensure continuation of the child’s relationship </w:t>
      </w:r>
      <w:r w:rsidR="00FF3597">
        <w:rPr>
          <w:rFonts w:cs="Arial"/>
          <w:b w:val="0"/>
          <w:bCs w:val="0"/>
          <w:sz w:val="20"/>
          <w:szCs w:val="18"/>
        </w:rPr>
        <w:t xml:space="preserve">with </w:t>
      </w:r>
      <w:r>
        <w:rPr>
          <w:rFonts w:cs="Arial"/>
          <w:b w:val="0"/>
          <w:bCs w:val="0"/>
          <w:sz w:val="20"/>
          <w:szCs w:val="18"/>
        </w:rPr>
        <w:t xml:space="preserve">the </w:t>
      </w:r>
      <w:r w:rsidR="00FF3597">
        <w:rPr>
          <w:rFonts w:cs="Arial"/>
          <w:b w:val="0"/>
          <w:bCs w:val="0"/>
          <w:sz w:val="20"/>
          <w:szCs w:val="18"/>
        </w:rPr>
        <w:t>other</w:t>
      </w:r>
      <w:r>
        <w:rPr>
          <w:rFonts w:cs="Arial"/>
          <w:b w:val="0"/>
          <w:bCs w:val="0"/>
          <w:sz w:val="20"/>
          <w:szCs w:val="18"/>
        </w:rPr>
        <w:t xml:space="preserve"> parent.</w:t>
      </w:r>
    </w:p>
    <w:p w14:paraId="11433944" w14:textId="77777777" w:rsidR="000864D6" w:rsidRDefault="000864D6" w:rsidP="00DB1236">
      <w:pPr>
        <w:pStyle w:val="BodyText"/>
        <w:numPr>
          <w:ilvl w:val="0"/>
          <w:numId w:val="4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Considerations are the benefit to the child/ren of having a meaningful relationship with both parents and protecting the child from abuse including psychological harm.</w:t>
      </w:r>
    </w:p>
    <w:p w14:paraId="5AF88E9D" w14:textId="77777777" w:rsidR="000864D6" w:rsidRDefault="000864D6" w:rsidP="00DB1236">
      <w:pPr>
        <w:pStyle w:val="BodyText"/>
        <w:numPr>
          <w:ilvl w:val="0"/>
          <w:numId w:val="4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The effect on the child/ren of the separation from the other parent or other persons with whom the child has been living</w:t>
      </w:r>
    </w:p>
    <w:p w14:paraId="0C83FD9F" w14:textId="77777777" w:rsidR="000864D6" w:rsidRDefault="000864D6" w:rsidP="00DB1236">
      <w:pPr>
        <w:pStyle w:val="BodyText"/>
        <w:numPr>
          <w:ilvl w:val="0"/>
          <w:numId w:val="4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The extent to which prior responsibilities toward the child have been fulfilled.</w:t>
      </w:r>
    </w:p>
    <w:p w14:paraId="3EA57568" w14:textId="77777777" w:rsidR="00C6135B" w:rsidRDefault="00C6135B" w:rsidP="00DB1236">
      <w:pPr>
        <w:pStyle w:val="BodyText"/>
        <w:pBdr>
          <w:left w:val="threeDEmboss" w:sz="24" w:space="1" w:color="auto"/>
        </w:pBdr>
        <w:tabs>
          <w:tab w:val="num" w:pos="360"/>
        </w:tabs>
        <w:ind w:left="360" w:hanging="360"/>
        <w:jc w:val="both"/>
        <w:rPr>
          <w:rFonts w:cs="Arial"/>
          <w:b w:val="0"/>
          <w:bCs w:val="0"/>
          <w:sz w:val="20"/>
          <w:szCs w:val="18"/>
        </w:rPr>
      </w:pPr>
      <w:r>
        <w:rPr>
          <w:rFonts w:cs="Arial"/>
          <w:b w:val="0"/>
          <w:bCs w:val="0"/>
          <w:sz w:val="20"/>
          <w:szCs w:val="18"/>
        </w:rPr>
        <w:t xml:space="preserve">A </w:t>
      </w:r>
      <w:r>
        <w:rPr>
          <w:rFonts w:cs="Arial"/>
          <w:b w:val="0"/>
          <w:bCs w:val="0"/>
          <w:i/>
          <w:iCs/>
          <w:sz w:val="20"/>
          <w:szCs w:val="18"/>
        </w:rPr>
        <w:t xml:space="preserve">legitimate interest </w:t>
      </w:r>
      <w:r>
        <w:rPr>
          <w:rFonts w:cs="Arial"/>
          <w:b w:val="0"/>
          <w:bCs w:val="0"/>
          <w:sz w:val="20"/>
          <w:szCs w:val="18"/>
        </w:rPr>
        <w:t>means t</w:t>
      </w:r>
      <w:r w:rsidR="00FF3597">
        <w:rPr>
          <w:rFonts w:cs="Arial"/>
          <w:b w:val="0"/>
          <w:bCs w:val="0"/>
          <w:sz w:val="20"/>
          <w:szCs w:val="18"/>
        </w:rPr>
        <w:t>hat the move must be “</w:t>
      </w:r>
      <w:r w:rsidR="00FF3597" w:rsidRPr="00FF3597">
        <w:rPr>
          <w:rFonts w:cs="Arial"/>
          <w:b w:val="0"/>
          <w:bCs w:val="0"/>
          <w:i/>
          <w:sz w:val="20"/>
          <w:szCs w:val="18"/>
        </w:rPr>
        <w:t>bona fide</w:t>
      </w:r>
      <w:r>
        <w:rPr>
          <w:rFonts w:cs="Arial"/>
          <w:b w:val="0"/>
          <w:bCs w:val="0"/>
          <w:sz w:val="20"/>
          <w:szCs w:val="18"/>
        </w:rPr>
        <w:t xml:space="preserve">”, that is, the move should be founded on sound reasons such as social, emotional or economic reasons, as opposed to an intention to hinder the </w:t>
      </w:r>
      <w:r w:rsidR="00FF3597">
        <w:rPr>
          <w:rFonts w:cs="Arial"/>
          <w:b w:val="0"/>
          <w:bCs w:val="0"/>
          <w:sz w:val="20"/>
          <w:szCs w:val="18"/>
        </w:rPr>
        <w:t>other</w:t>
      </w:r>
      <w:r>
        <w:rPr>
          <w:rFonts w:cs="Arial"/>
          <w:b w:val="0"/>
          <w:bCs w:val="0"/>
          <w:sz w:val="20"/>
          <w:szCs w:val="18"/>
        </w:rPr>
        <w:t xml:space="preserve"> parent</w:t>
      </w:r>
      <w:r w:rsidR="00FF3597">
        <w:rPr>
          <w:rFonts w:cs="Arial"/>
          <w:b w:val="0"/>
          <w:bCs w:val="0"/>
          <w:sz w:val="20"/>
          <w:szCs w:val="18"/>
        </w:rPr>
        <w:t xml:space="preserve"> from spending time with the child/ren</w:t>
      </w:r>
      <w:r w:rsidR="000864D6">
        <w:rPr>
          <w:rFonts w:cs="Arial"/>
          <w:b w:val="0"/>
          <w:bCs w:val="0"/>
          <w:sz w:val="20"/>
          <w:szCs w:val="18"/>
        </w:rPr>
        <w:t>.</w:t>
      </w:r>
    </w:p>
    <w:p w14:paraId="6C95FCE8" w14:textId="77777777" w:rsidR="00C6135B" w:rsidRDefault="00C6135B" w:rsidP="00DB1236">
      <w:pPr>
        <w:pStyle w:val="BodyText"/>
        <w:pBdr>
          <w:left w:val="threeDEmboss" w:sz="24" w:space="1" w:color="auto"/>
        </w:pBdr>
        <w:tabs>
          <w:tab w:val="num" w:pos="360"/>
        </w:tabs>
        <w:ind w:left="360" w:hanging="360"/>
        <w:jc w:val="both"/>
        <w:rPr>
          <w:rFonts w:cs="Arial"/>
          <w:b w:val="0"/>
          <w:bCs w:val="0"/>
          <w:sz w:val="20"/>
          <w:szCs w:val="18"/>
        </w:rPr>
      </w:pPr>
    </w:p>
    <w:p w14:paraId="51144039" w14:textId="77777777" w:rsidR="00C6135B" w:rsidRDefault="00C6135B" w:rsidP="00DB1236">
      <w:pPr>
        <w:pStyle w:val="BodyText"/>
        <w:pBdr>
          <w:left w:val="threeDEmboss" w:sz="24" w:space="1" w:color="auto"/>
        </w:pBdr>
        <w:tabs>
          <w:tab w:val="num" w:pos="360"/>
        </w:tabs>
        <w:ind w:left="360" w:hanging="360"/>
        <w:jc w:val="center"/>
        <w:rPr>
          <w:sz w:val="24"/>
          <w:u w:val="single"/>
        </w:rPr>
      </w:pPr>
      <w:r>
        <w:rPr>
          <w:sz w:val="24"/>
          <w:u w:val="single"/>
        </w:rPr>
        <w:t>Child Support</w:t>
      </w:r>
    </w:p>
    <w:p w14:paraId="10F0B2EF" w14:textId="77777777" w:rsidR="00C6135B" w:rsidRDefault="00C6135B" w:rsidP="00DB1236">
      <w:pPr>
        <w:pStyle w:val="BodyText"/>
        <w:pBdr>
          <w:left w:val="threeDEmboss" w:sz="24" w:space="1" w:color="auto"/>
        </w:pBdr>
        <w:tabs>
          <w:tab w:val="num" w:pos="360"/>
        </w:tabs>
        <w:ind w:left="360" w:hanging="360"/>
        <w:jc w:val="both"/>
        <w:rPr>
          <w:b w:val="0"/>
          <w:bCs w:val="0"/>
          <w:sz w:val="20"/>
        </w:rPr>
      </w:pPr>
      <w:r>
        <w:rPr>
          <w:b w:val="0"/>
          <w:bCs w:val="0"/>
          <w:sz w:val="20"/>
        </w:rPr>
        <w:t xml:space="preserve">The </w:t>
      </w:r>
      <w:r>
        <w:rPr>
          <w:b w:val="0"/>
          <w:bCs w:val="0"/>
          <w:i/>
          <w:iCs/>
          <w:sz w:val="20"/>
        </w:rPr>
        <w:t xml:space="preserve">Child Support (Assessment) Act 1989 </w:t>
      </w:r>
      <w:r>
        <w:rPr>
          <w:b w:val="0"/>
          <w:bCs w:val="0"/>
          <w:sz w:val="20"/>
        </w:rPr>
        <w:t>NSW establishes a scheme for child support which is regulated by the Child Support Agency (“CSA”)</w:t>
      </w:r>
      <w:r w:rsidR="004D07F7">
        <w:rPr>
          <w:b w:val="0"/>
          <w:bCs w:val="0"/>
          <w:sz w:val="20"/>
        </w:rPr>
        <w:t xml:space="preserve"> run through the ATO</w:t>
      </w:r>
      <w:r>
        <w:rPr>
          <w:b w:val="0"/>
          <w:bCs w:val="0"/>
          <w:sz w:val="20"/>
        </w:rPr>
        <w:t>.</w:t>
      </w:r>
    </w:p>
    <w:p w14:paraId="7D0D47B2" w14:textId="77777777" w:rsidR="00C6135B" w:rsidRDefault="00C6135B" w:rsidP="00DB1236">
      <w:pPr>
        <w:pStyle w:val="BodyText"/>
        <w:pBdr>
          <w:left w:val="threeDEmboss" w:sz="24" w:space="1" w:color="auto"/>
        </w:pBdr>
        <w:tabs>
          <w:tab w:val="num" w:pos="360"/>
        </w:tabs>
        <w:ind w:left="360" w:hanging="360"/>
        <w:jc w:val="both"/>
        <w:rPr>
          <w:b w:val="0"/>
          <w:bCs w:val="0"/>
          <w:sz w:val="20"/>
        </w:rPr>
      </w:pPr>
      <w:r>
        <w:rPr>
          <w:b w:val="0"/>
          <w:bCs w:val="0"/>
          <w:sz w:val="20"/>
        </w:rPr>
        <w:t>Child support can be arranged by:</w:t>
      </w:r>
    </w:p>
    <w:p w14:paraId="018485CF" w14:textId="77777777" w:rsidR="00C6135B" w:rsidRDefault="00C6135B" w:rsidP="00DB1236">
      <w:pPr>
        <w:pStyle w:val="BodyText"/>
        <w:numPr>
          <w:ilvl w:val="0"/>
          <w:numId w:val="40"/>
        </w:numPr>
        <w:pBdr>
          <w:left w:val="threeDEmboss" w:sz="24" w:space="1" w:color="auto"/>
        </w:pBdr>
        <w:tabs>
          <w:tab w:val="clear" w:pos="720"/>
          <w:tab w:val="num" w:pos="360"/>
        </w:tabs>
        <w:ind w:left="360"/>
        <w:jc w:val="both"/>
        <w:rPr>
          <w:b w:val="0"/>
          <w:bCs w:val="0"/>
          <w:sz w:val="20"/>
        </w:rPr>
      </w:pPr>
      <w:r>
        <w:rPr>
          <w:b w:val="0"/>
          <w:bCs w:val="0"/>
          <w:sz w:val="20"/>
        </w:rPr>
        <w:t>private agreement, or</w:t>
      </w:r>
    </w:p>
    <w:p w14:paraId="540DF957" w14:textId="77777777" w:rsidR="00C6135B" w:rsidRDefault="00C6135B" w:rsidP="00DB1236">
      <w:pPr>
        <w:pStyle w:val="BodyText"/>
        <w:numPr>
          <w:ilvl w:val="0"/>
          <w:numId w:val="40"/>
        </w:numPr>
        <w:pBdr>
          <w:left w:val="threeDEmboss" w:sz="24" w:space="1" w:color="auto"/>
        </w:pBdr>
        <w:tabs>
          <w:tab w:val="clear" w:pos="720"/>
          <w:tab w:val="num" w:pos="360"/>
        </w:tabs>
        <w:ind w:left="360"/>
        <w:jc w:val="both"/>
        <w:rPr>
          <w:b w:val="0"/>
          <w:bCs w:val="0"/>
          <w:sz w:val="20"/>
        </w:rPr>
      </w:pPr>
      <w:r>
        <w:rPr>
          <w:b w:val="0"/>
          <w:bCs w:val="0"/>
          <w:sz w:val="20"/>
        </w:rPr>
        <w:t>entering into a child support agreement, which can be lodged with CSA, or</w:t>
      </w:r>
    </w:p>
    <w:p w14:paraId="37235FB7" w14:textId="77777777" w:rsidR="00C6135B" w:rsidRDefault="00C6135B" w:rsidP="00DB1236">
      <w:pPr>
        <w:pStyle w:val="BodyText"/>
        <w:numPr>
          <w:ilvl w:val="0"/>
          <w:numId w:val="40"/>
        </w:numPr>
        <w:pBdr>
          <w:left w:val="threeDEmboss" w:sz="24" w:space="1" w:color="auto"/>
        </w:pBdr>
        <w:tabs>
          <w:tab w:val="clear" w:pos="720"/>
          <w:tab w:val="num" w:pos="360"/>
        </w:tabs>
        <w:ind w:left="360"/>
        <w:jc w:val="both"/>
        <w:rPr>
          <w:b w:val="0"/>
          <w:bCs w:val="0"/>
          <w:sz w:val="20"/>
        </w:rPr>
      </w:pPr>
      <w:r>
        <w:rPr>
          <w:b w:val="0"/>
          <w:bCs w:val="0"/>
          <w:sz w:val="20"/>
        </w:rPr>
        <w:t>by application for assessment to CSA.</w:t>
      </w:r>
    </w:p>
    <w:p w14:paraId="631BBE01" w14:textId="77777777" w:rsidR="00C6135B" w:rsidRDefault="00C6135B" w:rsidP="00DB1236">
      <w:pPr>
        <w:pStyle w:val="BodyText"/>
        <w:pBdr>
          <w:left w:val="threeDEmboss" w:sz="24" w:space="1" w:color="auto"/>
        </w:pBdr>
        <w:tabs>
          <w:tab w:val="num" w:pos="360"/>
        </w:tabs>
        <w:ind w:left="360" w:hanging="360"/>
        <w:jc w:val="both"/>
        <w:rPr>
          <w:b w:val="0"/>
          <w:bCs w:val="0"/>
          <w:sz w:val="20"/>
        </w:rPr>
      </w:pPr>
    </w:p>
    <w:p w14:paraId="3A5513FD" w14:textId="77777777" w:rsidR="00C6135B" w:rsidRDefault="00C6135B" w:rsidP="00DB1236">
      <w:pPr>
        <w:pStyle w:val="BodyText"/>
        <w:pBdr>
          <w:left w:val="threeDEmboss" w:sz="24" w:space="1" w:color="auto"/>
        </w:pBdr>
        <w:tabs>
          <w:tab w:val="num" w:pos="360"/>
        </w:tabs>
        <w:ind w:left="360" w:hanging="360"/>
        <w:jc w:val="both"/>
        <w:rPr>
          <w:b w:val="0"/>
          <w:bCs w:val="0"/>
          <w:sz w:val="20"/>
          <w:u w:val="single"/>
        </w:rPr>
      </w:pPr>
      <w:r>
        <w:rPr>
          <w:b w:val="0"/>
          <w:bCs w:val="0"/>
          <w:sz w:val="20"/>
          <w:u w:val="single"/>
        </w:rPr>
        <w:t>How is Child Support assessed?</w:t>
      </w:r>
    </w:p>
    <w:p w14:paraId="6CECB2C4" w14:textId="77777777" w:rsidR="00C6135B" w:rsidRDefault="00C6135B" w:rsidP="00DB1236">
      <w:pPr>
        <w:pStyle w:val="BodyText"/>
        <w:pBdr>
          <w:left w:val="threeDEmboss" w:sz="24" w:space="1" w:color="auto"/>
        </w:pBdr>
        <w:tabs>
          <w:tab w:val="num" w:pos="0"/>
        </w:tabs>
        <w:jc w:val="both"/>
        <w:rPr>
          <w:b w:val="0"/>
          <w:bCs w:val="0"/>
          <w:sz w:val="20"/>
        </w:rPr>
      </w:pPr>
      <w:r>
        <w:rPr>
          <w:b w:val="0"/>
          <w:bCs w:val="0"/>
          <w:sz w:val="20"/>
        </w:rPr>
        <w:t>Upon receipt of the application, CSA assesses the taxable income of the liable parent and determines the amount of child support payable depending on the number of children that parent is liable to support.  Child support payments can then be made directly to the spouse or collected by CSA.</w:t>
      </w:r>
    </w:p>
    <w:p w14:paraId="4F92EB95" w14:textId="77777777" w:rsidR="00C6135B" w:rsidRDefault="00C6135B" w:rsidP="00DB1236">
      <w:pPr>
        <w:pStyle w:val="BodyText"/>
        <w:pBdr>
          <w:left w:val="threeDEmboss" w:sz="24" w:space="1" w:color="auto"/>
        </w:pBdr>
        <w:tabs>
          <w:tab w:val="num" w:pos="360"/>
        </w:tabs>
        <w:ind w:left="360" w:hanging="360"/>
        <w:jc w:val="both"/>
        <w:rPr>
          <w:b w:val="0"/>
          <w:bCs w:val="0"/>
          <w:sz w:val="20"/>
          <w:u w:val="single"/>
        </w:rPr>
      </w:pPr>
    </w:p>
    <w:p w14:paraId="5264A000" w14:textId="77777777" w:rsidR="00C6135B" w:rsidRDefault="00C6135B" w:rsidP="00DB1236">
      <w:pPr>
        <w:pStyle w:val="BodyText"/>
        <w:pBdr>
          <w:left w:val="threeDEmboss" w:sz="24" w:space="1" w:color="auto"/>
        </w:pBdr>
        <w:jc w:val="both"/>
        <w:rPr>
          <w:b w:val="0"/>
          <w:bCs w:val="0"/>
          <w:sz w:val="20"/>
        </w:rPr>
      </w:pPr>
      <w:r>
        <w:rPr>
          <w:b w:val="0"/>
          <w:bCs w:val="0"/>
          <w:sz w:val="20"/>
        </w:rPr>
        <w:t xml:space="preserve">The general formula is </w:t>
      </w:r>
      <w:r w:rsidR="004D07F7">
        <w:rPr>
          <w:b w:val="0"/>
          <w:bCs w:val="0"/>
          <w:sz w:val="20"/>
        </w:rPr>
        <w:t>calculated, f</w:t>
      </w:r>
      <w:r>
        <w:rPr>
          <w:b w:val="0"/>
          <w:bCs w:val="0"/>
          <w:sz w:val="20"/>
        </w:rPr>
        <w:t xml:space="preserve">irstly, </w:t>
      </w:r>
      <w:r w:rsidR="004D07F7">
        <w:rPr>
          <w:b w:val="0"/>
          <w:bCs w:val="0"/>
          <w:sz w:val="20"/>
        </w:rPr>
        <w:t xml:space="preserve">by </w:t>
      </w:r>
      <w:r>
        <w:rPr>
          <w:b w:val="0"/>
          <w:bCs w:val="0"/>
          <w:sz w:val="20"/>
        </w:rPr>
        <w:t xml:space="preserve">the </w:t>
      </w:r>
      <w:r w:rsidR="004D07F7">
        <w:rPr>
          <w:b w:val="0"/>
          <w:bCs w:val="0"/>
          <w:sz w:val="20"/>
        </w:rPr>
        <w:t>CSA</w:t>
      </w:r>
      <w:r>
        <w:rPr>
          <w:b w:val="0"/>
          <w:bCs w:val="0"/>
          <w:sz w:val="20"/>
        </w:rPr>
        <w:t xml:space="preserve"> calculat</w:t>
      </w:r>
      <w:r w:rsidR="004D07F7">
        <w:rPr>
          <w:b w:val="0"/>
          <w:bCs w:val="0"/>
          <w:sz w:val="20"/>
        </w:rPr>
        <w:t>ing</w:t>
      </w:r>
      <w:r>
        <w:rPr>
          <w:b w:val="0"/>
          <w:bCs w:val="0"/>
          <w:sz w:val="20"/>
        </w:rPr>
        <w:t xml:space="preserve"> your </w:t>
      </w:r>
      <w:r>
        <w:rPr>
          <w:b w:val="0"/>
          <w:bCs w:val="0"/>
          <w:i/>
          <w:iCs/>
          <w:sz w:val="20"/>
        </w:rPr>
        <w:t>Child Support Income</w:t>
      </w:r>
      <w:r>
        <w:rPr>
          <w:b w:val="0"/>
          <w:bCs w:val="0"/>
          <w:sz w:val="20"/>
        </w:rPr>
        <w:t xml:space="preserve"> by adding your relevant taxable income plus any supplementary income.</w:t>
      </w:r>
      <w:r w:rsidR="009D5795">
        <w:rPr>
          <w:b w:val="0"/>
          <w:bCs w:val="0"/>
          <w:sz w:val="20"/>
        </w:rPr>
        <w:t xml:space="preserve"> From this amount</w:t>
      </w:r>
      <w:r w:rsidR="00AF5FCC" w:rsidRPr="00AF5FCC">
        <w:rPr>
          <w:b w:val="0"/>
          <w:bCs w:val="0"/>
          <w:sz w:val="20"/>
        </w:rPr>
        <w:t xml:space="preserve"> </w:t>
      </w:r>
      <w:r w:rsidR="00AF5FCC">
        <w:rPr>
          <w:b w:val="0"/>
          <w:bCs w:val="0"/>
          <w:sz w:val="20"/>
        </w:rPr>
        <w:t xml:space="preserve">your </w:t>
      </w:r>
      <w:r w:rsidR="00AF5FCC" w:rsidRPr="00AF5FCC">
        <w:rPr>
          <w:b w:val="0"/>
          <w:bCs w:val="0"/>
          <w:i/>
          <w:sz w:val="20"/>
        </w:rPr>
        <w:t>E</w:t>
      </w:r>
      <w:r w:rsidR="00AF5FCC" w:rsidRPr="00AF5FCC">
        <w:rPr>
          <w:b w:val="0"/>
          <w:bCs w:val="0"/>
          <w:i/>
          <w:iCs/>
          <w:sz w:val="20"/>
        </w:rPr>
        <w:t>xempt</w:t>
      </w:r>
      <w:r w:rsidR="0028058D">
        <w:rPr>
          <w:b w:val="0"/>
          <w:bCs w:val="0"/>
          <w:i/>
          <w:iCs/>
          <w:sz w:val="20"/>
        </w:rPr>
        <w:t xml:space="preserve"> I</w:t>
      </w:r>
      <w:r w:rsidR="00AF5FCC">
        <w:rPr>
          <w:b w:val="0"/>
          <w:bCs w:val="0"/>
          <w:i/>
          <w:iCs/>
          <w:sz w:val="20"/>
        </w:rPr>
        <w:t>ncome</w:t>
      </w:r>
      <w:r w:rsidR="00AF5FCC">
        <w:rPr>
          <w:b w:val="0"/>
          <w:bCs w:val="0"/>
          <w:sz w:val="20"/>
        </w:rPr>
        <w:t xml:space="preserve"> (calculated by reference to the relevant Centrelink pension rate and the number of dependant children) is deducted to give y</w:t>
      </w:r>
      <w:r>
        <w:rPr>
          <w:b w:val="0"/>
          <w:bCs w:val="0"/>
          <w:sz w:val="20"/>
        </w:rPr>
        <w:t xml:space="preserve">our </w:t>
      </w:r>
      <w:r>
        <w:rPr>
          <w:b w:val="0"/>
          <w:bCs w:val="0"/>
          <w:i/>
          <w:iCs/>
          <w:sz w:val="20"/>
        </w:rPr>
        <w:t>Adjusted Income</w:t>
      </w:r>
      <w:r w:rsidR="00AF5FCC">
        <w:rPr>
          <w:b w:val="0"/>
          <w:bCs w:val="0"/>
          <w:i/>
          <w:iCs/>
          <w:sz w:val="20"/>
        </w:rPr>
        <w:t>.</w:t>
      </w:r>
      <w:r w:rsidR="0028058D">
        <w:rPr>
          <w:b w:val="0"/>
          <w:bCs w:val="0"/>
          <w:i/>
          <w:iCs/>
          <w:sz w:val="20"/>
        </w:rPr>
        <w:t xml:space="preserve"> </w:t>
      </w:r>
      <w:r>
        <w:rPr>
          <w:b w:val="0"/>
          <w:bCs w:val="0"/>
          <w:sz w:val="20"/>
        </w:rPr>
        <w:t xml:space="preserve">The </w:t>
      </w:r>
      <w:r w:rsidR="00AF5FCC" w:rsidRPr="00AF5FCC">
        <w:rPr>
          <w:b w:val="0"/>
          <w:bCs w:val="0"/>
          <w:i/>
          <w:sz w:val="20"/>
        </w:rPr>
        <w:t>A</w:t>
      </w:r>
      <w:r w:rsidRPr="00AF5FCC">
        <w:rPr>
          <w:b w:val="0"/>
          <w:bCs w:val="0"/>
          <w:i/>
          <w:sz w:val="20"/>
        </w:rPr>
        <w:t xml:space="preserve">djusted </w:t>
      </w:r>
      <w:r w:rsidR="00AF5FCC" w:rsidRPr="00AF5FCC">
        <w:rPr>
          <w:b w:val="0"/>
          <w:bCs w:val="0"/>
          <w:i/>
          <w:sz w:val="20"/>
        </w:rPr>
        <w:t>I</w:t>
      </w:r>
      <w:r w:rsidRPr="00AF5FCC">
        <w:rPr>
          <w:b w:val="0"/>
          <w:bCs w:val="0"/>
          <w:i/>
          <w:sz w:val="20"/>
        </w:rPr>
        <w:t>ncome</w:t>
      </w:r>
      <w:r>
        <w:rPr>
          <w:b w:val="0"/>
          <w:bCs w:val="0"/>
          <w:sz w:val="20"/>
        </w:rPr>
        <w:t xml:space="preserve"> is then multiplied by a </w:t>
      </w:r>
      <w:r w:rsidRPr="00AF5FCC">
        <w:rPr>
          <w:b w:val="0"/>
          <w:bCs w:val="0"/>
          <w:iCs/>
          <w:sz w:val="20"/>
        </w:rPr>
        <w:t>Child Support Percentage</w:t>
      </w:r>
      <w:r>
        <w:rPr>
          <w:b w:val="0"/>
          <w:bCs w:val="0"/>
          <w:sz w:val="20"/>
        </w:rPr>
        <w:t>, which depends on the number of children to be supported.</w:t>
      </w:r>
      <w:r w:rsidR="00681307">
        <w:rPr>
          <w:b w:val="0"/>
          <w:bCs w:val="0"/>
          <w:sz w:val="20"/>
        </w:rPr>
        <w:t xml:space="preserve"> </w:t>
      </w:r>
      <w:r>
        <w:rPr>
          <w:b w:val="0"/>
          <w:bCs w:val="0"/>
          <w:sz w:val="20"/>
        </w:rPr>
        <w:t>The applicant’s income is also taken into account if their income is over a certain threshold.</w:t>
      </w:r>
    </w:p>
    <w:p w14:paraId="795AF6EA" w14:textId="77777777" w:rsidR="00681307" w:rsidRDefault="00681307" w:rsidP="00DB1236">
      <w:pPr>
        <w:pStyle w:val="BodyText"/>
        <w:pBdr>
          <w:left w:val="threeDEmboss" w:sz="24" w:space="1" w:color="auto"/>
        </w:pBdr>
        <w:jc w:val="both"/>
        <w:rPr>
          <w:b w:val="0"/>
          <w:bCs w:val="0"/>
          <w:sz w:val="20"/>
        </w:rPr>
      </w:pPr>
    </w:p>
    <w:p w14:paraId="31BF63D2" w14:textId="77777777" w:rsidR="00C6135B" w:rsidRDefault="00C6135B" w:rsidP="00DB1236">
      <w:pPr>
        <w:pStyle w:val="BodyText"/>
        <w:pBdr>
          <w:left w:val="threeDEmboss" w:sz="24" w:space="1" w:color="auto"/>
        </w:pBdr>
        <w:jc w:val="both"/>
        <w:rPr>
          <w:b w:val="0"/>
          <w:bCs w:val="0"/>
          <w:sz w:val="20"/>
        </w:rPr>
      </w:pPr>
      <w:r>
        <w:rPr>
          <w:b w:val="0"/>
          <w:bCs w:val="0"/>
          <w:sz w:val="20"/>
        </w:rPr>
        <w:t>The above formula will not apply in all cases.  If a departure from normal assessment is required, or if a party is unhappy with the assessment, they can apply to the Child Support Registrar</w:t>
      </w:r>
      <w:r w:rsidR="0028058D">
        <w:rPr>
          <w:b w:val="0"/>
          <w:bCs w:val="0"/>
          <w:sz w:val="20"/>
        </w:rPr>
        <w:t xml:space="preserve"> for review</w:t>
      </w:r>
      <w:r>
        <w:rPr>
          <w:b w:val="0"/>
          <w:bCs w:val="0"/>
          <w:sz w:val="20"/>
        </w:rPr>
        <w:t>, and if this is not satisfactory, to the Family Court.</w:t>
      </w:r>
    </w:p>
    <w:p w14:paraId="16655006" w14:textId="77777777" w:rsidR="0028058D" w:rsidRDefault="0028058D" w:rsidP="00DB1236">
      <w:pPr>
        <w:pStyle w:val="BodyText"/>
        <w:pBdr>
          <w:left w:val="threeDEmboss" w:sz="24" w:space="1" w:color="auto"/>
        </w:pBdr>
        <w:jc w:val="both"/>
        <w:rPr>
          <w:b w:val="0"/>
          <w:bCs w:val="0"/>
          <w:sz w:val="20"/>
          <w:u w:val="single"/>
        </w:rPr>
      </w:pPr>
    </w:p>
    <w:p w14:paraId="47BBBCC3" w14:textId="77777777" w:rsidR="00C6135B" w:rsidRDefault="00C6135B" w:rsidP="00DB1236">
      <w:pPr>
        <w:pStyle w:val="BodyText"/>
        <w:pBdr>
          <w:left w:val="threeDEmboss" w:sz="24" w:space="1" w:color="auto"/>
        </w:pBdr>
        <w:jc w:val="both"/>
        <w:rPr>
          <w:b w:val="0"/>
          <w:bCs w:val="0"/>
          <w:sz w:val="20"/>
          <w:u w:val="single"/>
        </w:rPr>
      </w:pPr>
      <w:r>
        <w:rPr>
          <w:b w:val="0"/>
          <w:bCs w:val="0"/>
          <w:sz w:val="20"/>
          <w:u w:val="single"/>
        </w:rPr>
        <w:t>How do I Apply?</w:t>
      </w:r>
    </w:p>
    <w:p w14:paraId="084562BB" w14:textId="77777777" w:rsidR="00C6135B" w:rsidRDefault="00AF5FCC" w:rsidP="00DB1236">
      <w:pPr>
        <w:pStyle w:val="BodyText"/>
        <w:pBdr>
          <w:left w:val="threeDEmboss" w:sz="24" w:space="1" w:color="auto"/>
        </w:pBdr>
        <w:jc w:val="both"/>
        <w:rPr>
          <w:b w:val="0"/>
          <w:bCs w:val="0"/>
          <w:sz w:val="20"/>
        </w:rPr>
      </w:pPr>
      <w:r>
        <w:rPr>
          <w:b w:val="0"/>
          <w:bCs w:val="0"/>
          <w:sz w:val="20"/>
        </w:rPr>
        <w:t xml:space="preserve">Calculators for the CSA formula and </w:t>
      </w:r>
      <w:r w:rsidR="00C6135B">
        <w:rPr>
          <w:b w:val="0"/>
          <w:bCs w:val="0"/>
          <w:sz w:val="20"/>
        </w:rPr>
        <w:t xml:space="preserve">Application forms are available from </w:t>
      </w:r>
      <w:r w:rsidR="0028058D">
        <w:rPr>
          <w:b w:val="0"/>
          <w:bCs w:val="0"/>
          <w:sz w:val="20"/>
        </w:rPr>
        <w:t xml:space="preserve">CSA’s website at </w:t>
      </w:r>
      <w:hyperlink r:id="rId10" w:history="1">
        <w:r w:rsidR="0028058D">
          <w:rPr>
            <w:rStyle w:val="Hyperlink"/>
            <w:sz w:val="20"/>
          </w:rPr>
          <w:t>www.csa.gov.au</w:t>
        </w:r>
      </w:hyperlink>
      <w:r w:rsidR="0028058D">
        <w:rPr>
          <w:b w:val="0"/>
          <w:bCs w:val="0"/>
          <w:sz w:val="20"/>
        </w:rPr>
        <w:t xml:space="preserve">. </w:t>
      </w:r>
      <w:r w:rsidR="00C6135B">
        <w:rPr>
          <w:b w:val="0"/>
          <w:bCs w:val="0"/>
          <w:sz w:val="20"/>
        </w:rPr>
        <w:t xml:space="preserve">Contact </w:t>
      </w:r>
      <w:r w:rsidR="00C6135B">
        <w:rPr>
          <w:sz w:val="20"/>
        </w:rPr>
        <w:t>CSA</w:t>
      </w:r>
      <w:r w:rsidR="00C6135B">
        <w:rPr>
          <w:b w:val="0"/>
          <w:bCs w:val="0"/>
          <w:sz w:val="20"/>
        </w:rPr>
        <w:t xml:space="preserve"> on </w:t>
      </w:r>
      <w:r w:rsidR="00C6135B">
        <w:rPr>
          <w:sz w:val="20"/>
        </w:rPr>
        <w:t>131 272</w:t>
      </w:r>
      <w:r w:rsidR="00C6135B">
        <w:rPr>
          <w:b w:val="0"/>
          <w:bCs w:val="0"/>
          <w:sz w:val="20"/>
        </w:rPr>
        <w:t xml:space="preserve"> for further assistance.</w:t>
      </w:r>
    </w:p>
    <w:p w14:paraId="68E943E6" w14:textId="77777777" w:rsidR="00C6135B" w:rsidRDefault="00C6135B" w:rsidP="00DB1236">
      <w:pPr>
        <w:pStyle w:val="BodyText"/>
        <w:pBdr>
          <w:left w:val="threeDEmboss" w:sz="24" w:space="1" w:color="auto"/>
        </w:pBdr>
        <w:jc w:val="both"/>
        <w:rPr>
          <w:b w:val="0"/>
          <w:bCs w:val="0"/>
          <w:sz w:val="20"/>
        </w:rPr>
      </w:pPr>
    </w:p>
    <w:p w14:paraId="57DEAF96" w14:textId="77777777" w:rsidR="00C6135B" w:rsidRDefault="00C6135B" w:rsidP="00DB1236">
      <w:pPr>
        <w:pStyle w:val="BodyText"/>
        <w:pBdr>
          <w:left w:val="threeDEmboss" w:sz="24" w:space="1" w:color="auto"/>
        </w:pBdr>
        <w:jc w:val="center"/>
        <w:rPr>
          <w:rFonts w:cs="Arial"/>
          <w:sz w:val="24"/>
          <w:szCs w:val="18"/>
          <w:u w:val="single"/>
        </w:rPr>
      </w:pPr>
      <w:r>
        <w:rPr>
          <w:rFonts w:cs="Arial"/>
          <w:sz w:val="24"/>
          <w:szCs w:val="18"/>
          <w:u w:val="single"/>
        </w:rPr>
        <w:t>Spouse Maintenance</w:t>
      </w:r>
    </w:p>
    <w:p w14:paraId="1502EFF3" w14:textId="77777777" w:rsidR="00C6135B" w:rsidRDefault="00C6135B" w:rsidP="00DB1236">
      <w:pPr>
        <w:pStyle w:val="BodyText"/>
        <w:pBdr>
          <w:left w:val="threeDEmboss" w:sz="24" w:space="1" w:color="auto"/>
        </w:pBdr>
        <w:jc w:val="both"/>
        <w:rPr>
          <w:b w:val="0"/>
          <w:bCs w:val="0"/>
          <w:sz w:val="20"/>
        </w:rPr>
      </w:pPr>
      <w:r>
        <w:rPr>
          <w:b w:val="0"/>
          <w:bCs w:val="0"/>
          <w:sz w:val="20"/>
        </w:rPr>
        <w:t>A party with the majority of the care for a child/ren may find themselves in need of further financial assistance in order to adequately support themselves and the child</w:t>
      </w:r>
      <w:r w:rsidR="0028058D">
        <w:rPr>
          <w:b w:val="0"/>
          <w:bCs w:val="0"/>
          <w:sz w:val="20"/>
        </w:rPr>
        <w:t>/</w:t>
      </w:r>
      <w:r>
        <w:rPr>
          <w:b w:val="0"/>
          <w:bCs w:val="0"/>
          <w:sz w:val="20"/>
        </w:rPr>
        <w:t>ren.</w:t>
      </w:r>
    </w:p>
    <w:p w14:paraId="2CBC0AAE" w14:textId="77777777" w:rsidR="00C6135B" w:rsidRDefault="00C6135B" w:rsidP="00DB1236">
      <w:pPr>
        <w:pStyle w:val="BodyText"/>
        <w:pBdr>
          <w:left w:val="threeDEmboss" w:sz="24" w:space="1" w:color="auto"/>
        </w:pBdr>
        <w:jc w:val="both"/>
        <w:rPr>
          <w:b w:val="0"/>
          <w:bCs w:val="0"/>
          <w:sz w:val="20"/>
        </w:rPr>
      </w:pPr>
    </w:p>
    <w:p w14:paraId="44F2810A" w14:textId="40718BC0" w:rsidR="00C6135B" w:rsidRDefault="00C6135B" w:rsidP="00DB1236">
      <w:pPr>
        <w:pStyle w:val="BodyText"/>
        <w:pBdr>
          <w:left w:val="threeDEmboss" w:sz="24" w:space="1" w:color="auto"/>
        </w:pBdr>
        <w:jc w:val="both"/>
        <w:rPr>
          <w:b w:val="0"/>
          <w:bCs w:val="0"/>
          <w:sz w:val="20"/>
        </w:rPr>
      </w:pPr>
      <w:r>
        <w:rPr>
          <w:b w:val="0"/>
          <w:bCs w:val="0"/>
          <w:sz w:val="20"/>
        </w:rPr>
        <w:t>An application for spousal maintenance from the other party can be made at the time of a property settlement, or at any other time.  Further, spousal maintenance can be reviewed, and then increased or decreased where either party’s financial position has changed.</w:t>
      </w:r>
    </w:p>
    <w:p w14:paraId="5F0B2601" w14:textId="49BDEBB9" w:rsidR="008824E9" w:rsidRDefault="008824E9" w:rsidP="00DB1236">
      <w:pPr>
        <w:pStyle w:val="BodyText"/>
        <w:pBdr>
          <w:left w:val="threeDEmboss" w:sz="24" w:space="1" w:color="auto"/>
        </w:pBdr>
        <w:jc w:val="both"/>
        <w:rPr>
          <w:b w:val="0"/>
          <w:bCs w:val="0"/>
          <w:sz w:val="20"/>
        </w:rPr>
      </w:pPr>
    </w:p>
    <w:p w14:paraId="1608FF9C" w14:textId="77777777" w:rsidR="008824E9" w:rsidRDefault="008824E9" w:rsidP="00DB1236">
      <w:pPr>
        <w:pStyle w:val="BodyText"/>
        <w:pBdr>
          <w:left w:val="threeDEmboss" w:sz="24" w:space="1" w:color="auto"/>
        </w:pBdr>
        <w:jc w:val="both"/>
        <w:rPr>
          <w:b w:val="0"/>
          <w:bCs w:val="0"/>
          <w:sz w:val="20"/>
        </w:rPr>
      </w:pPr>
    </w:p>
    <w:p w14:paraId="264D2F95" w14:textId="77777777" w:rsidR="00C6135B" w:rsidRDefault="00C6135B" w:rsidP="00DB1236">
      <w:pPr>
        <w:pStyle w:val="BodyText"/>
        <w:pBdr>
          <w:left w:val="threeDEmboss" w:sz="24" w:space="1" w:color="auto"/>
        </w:pBdr>
        <w:jc w:val="both"/>
        <w:rPr>
          <w:b w:val="0"/>
          <w:bCs w:val="0"/>
          <w:sz w:val="20"/>
        </w:rPr>
      </w:pPr>
    </w:p>
    <w:p w14:paraId="7A271D86" w14:textId="77777777" w:rsidR="00C6135B" w:rsidRDefault="00C6135B" w:rsidP="00DB1236">
      <w:pPr>
        <w:pStyle w:val="BodyText"/>
        <w:pBdr>
          <w:left w:val="threeDEmboss" w:sz="24" w:space="1" w:color="auto"/>
        </w:pBdr>
        <w:jc w:val="both"/>
        <w:rPr>
          <w:b w:val="0"/>
          <w:bCs w:val="0"/>
          <w:sz w:val="20"/>
          <w:u w:val="single"/>
        </w:rPr>
      </w:pPr>
      <w:r>
        <w:rPr>
          <w:b w:val="0"/>
          <w:bCs w:val="0"/>
          <w:sz w:val="20"/>
          <w:u w:val="single"/>
        </w:rPr>
        <w:t>Criteria for Eligibility</w:t>
      </w:r>
    </w:p>
    <w:p w14:paraId="49A498F0" w14:textId="77777777" w:rsidR="00C6135B" w:rsidRDefault="00C6135B" w:rsidP="00DB1236">
      <w:pPr>
        <w:pStyle w:val="BodyText"/>
        <w:pBdr>
          <w:left w:val="threeDEmboss" w:sz="24" w:space="1" w:color="auto"/>
        </w:pBdr>
        <w:jc w:val="both"/>
        <w:rPr>
          <w:b w:val="0"/>
          <w:bCs w:val="0"/>
          <w:sz w:val="20"/>
        </w:rPr>
      </w:pPr>
      <w:r>
        <w:rPr>
          <w:b w:val="0"/>
          <w:bCs w:val="0"/>
          <w:sz w:val="20"/>
        </w:rPr>
        <w:t>The Court will only make an order for spousal maintenance where the following conditions are met;</w:t>
      </w:r>
    </w:p>
    <w:p w14:paraId="4A8C0162" w14:textId="77777777" w:rsidR="00C6135B" w:rsidRDefault="00C6135B" w:rsidP="00DB1236">
      <w:pPr>
        <w:pStyle w:val="BodyText"/>
        <w:numPr>
          <w:ilvl w:val="0"/>
          <w:numId w:val="43"/>
        </w:numPr>
        <w:pBdr>
          <w:left w:val="threeDEmboss" w:sz="24" w:space="1" w:color="auto"/>
        </w:pBdr>
        <w:tabs>
          <w:tab w:val="clear" w:pos="720"/>
          <w:tab w:val="num" w:pos="360"/>
        </w:tabs>
        <w:ind w:left="360"/>
        <w:jc w:val="both"/>
        <w:rPr>
          <w:b w:val="0"/>
          <w:bCs w:val="0"/>
          <w:sz w:val="20"/>
        </w:rPr>
      </w:pPr>
      <w:r>
        <w:rPr>
          <w:b w:val="0"/>
          <w:bCs w:val="0"/>
          <w:sz w:val="20"/>
        </w:rPr>
        <w:t>The applicant spouse has a “need” – interpreted to mean more than the basic necessities or survival income – the applicant needs to show their expenses exceeds their income; and</w:t>
      </w:r>
    </w:p>
    <w:p w14:paraId="781DF067" w14:textId="77777777" w:rsidR="00C6135B" w:rsidRDefault="00C6135B" w:rsidP="00DB1236">
      <w:pPr>
        <w:pStyle w:val="BodyText"/>
        <w:numPr>
          <w:ilvl w:val="0"/>
          <w:numId w:val="43"/>
        </w:numPr>
        <w:pBdr>
          <w:left w:val="threeDEmboss" w:sz="24" w:space="1" w:color="auto"/>
        </w:pBdr>
        <w:tabs>
          <w:tab w:val="clear" w:pos="720"/>
          <w:tab w:val="num" w:pos="360"/>
        </w:tabs>
        <w:ind w:left="360"/>
        <w:jc w:val="both"/>
        <w:rPr>
          <w:b w:val="0"/>
          <w:bCs w:val="0"/>
          <w:sz w:val="20"/>
        </w:rPr>
      </w:pPr>
      <w:r>
        <w:rPr>
          <w:b w:val="0"/>
          <w:bCs w:val="0"/>
          <w:sz w:val="20"/>
        </w:rPr>
        <w:t>The other party has a “surplus income” – that is, that party’s income exceeds their expenses or needs.</w:t>
      </w:r>
    </w:p>
    <w:p w14:paraId="2F9C9D86" w14:textId="77777777" w:rsidR="00C6135B" w:rsidRDefault="00C6135B" w:rsidP="00DB1236">
      <w:pPr>
        <w:pStyle w:val="BodyText"/>
        <w:pBdr>
          <w:left w:val="threeDEmboss" w:sz="24" w:space="1" w:color="auto"/>
        </w:pBdr>
        <w:tabs>
          <w:tab w:val="num" w:pos="360"/>
        </w:tabs>
        <w:ind w:left="360" w:hanging="360"/>
        <w:jc w:val="both"/>
        <w:rPr>
          <w:b w:val="0"/>
          <w:bCs w:val="0"/>
          <w:sz w:val="20"/>
        </w:rPr>
      </w:pPr>
    </w:p>
    <w:p w14:paraId="2653EC22" w14:textId="77777777" w:rsidR="00C6135B" w:rsidRDefault="00C6135B" w:rsidP="00DB1236">
      <w:pPr>
        <w:pStyle w:val="BodyText"/>
        <w:pBdr>
          <w:left w:val="threeDEmboss" w:sz="24" w:space="1" w:color="auto"/>
        </w:pBdr>
        <w:tabs>
          <w:tab w:val="num" w:pos="0"/>
        </w:tabs>
        <w:jc w:val="both"/>
        <w:rPr>
          <w:b w:val="0"/>
          <w:bCs w:val="0"/>
          <w:sz w:val="20"/>
        </w:rPr>
      </w:pPr>
      <w:r>
        <w:rPr>
          <w:b w:val="0"/>
          <w:bCs w:val="0"/>
          <w:sz w:val="20"/>
        </w:rPr>
        <w:t>The matters which are taken into account in assessing the applicant’s “need” include;</w:t>
      </w:r>
    </w:p>
    <w:p w14:paraId="7C968EA4" w14:textId="77777777" w:rsidR="00C6135B" w:rsidRDefault="00C6135B" w:rsidP="00DB1236">
      <w:pPr>
        <w:pStyle w:val="BodyText"/>
        <w:numPr>
          <w:ilvl w:val="0"/>
          <w:numId w:val="39"/>
        </w:numPr>
        <w:pBdr>
          <w:left w:val="threeDEmboss" w:sz="24" w:space="1" w:color="auto"/>
        </w:pBdr>
        <w:tabs>
          <w:tab w:val="clear" w:pos="720"/>
          <w:tab w:val="num" w:pos="360"/>
        </w:tabs>
        <w:ind w:left="360"/>
        <w:jc w:val="both"/>
        <w:rPr>
          <w:b w:val="0"/>
          <w:bCs w:val="0"/>
          <w:sz w:val="20"/>
        </w:rPr>
      </w:pPr>
      <w:r>
        <w:rPr>
          <w:b w:val="0"/>
          <w:bCs w:val="0"/>
          <w:sz w:val="20"/>
        </w:rPr>
        <w:t>whether they have the care and control of a child of the marriage;</w:t>
      </w:r>
    </w:p>
    <w:p w14:paraId="36EB35EB" w14:textId="77777777" w:rsidR="00C6135B" w:rsidRDefault="00C6135B" w:rsidP="00DB1236">
      <w:pPr>
        <w:pStyle w:val="BodyText"/>
        <w:numPr>
          <w:ilvl w:val="0"/>
          <w:numId w:val="39"/>
        </w:numPr>
        <w:pBdr>
          <w:left w:val="threeDEmboss" w:sz="24" w:space="1" w:color="auto"/>
        </w:pBdr>
        <w:tabs>
          <w:tab w:val="clear" w:pos="720"/>
          <w:tab w:val="num" w:pos="360"/>
        </w:tabs>
        <w:ind w:left="360"/>
        <w:jc w:val="both"/>
        <w:rPr>
          <w:b w:val="0"/>
          <w:bCs w:val="0"/>
          <w:sz w:val="20"/>
        </w:rPr>
      </w:pPr>
      <w:r>
        <w:rPr>
          <w:b w:val="0"/>
          <w:bCs w:val="0"/>
          <w:sz w:val="20"/>
        </w:rPr>
        <w:t>their age and state of health;</w:t>
      </w:r>
    </w:p>
    <w:p w14:paraId="78805A73" w14:textId="77777777" w:rsidR="00C6135B" w:rsidRDefault="00C6135B" w:rsidP="00DB1236">
      <w:pPr>
        <w:pStyle w:val="BodyText"/>
        <w:numPr>
          <w:ilvl w:val="0"/>
          <w:numId w:val="39"/>
        </w:numPr>
        <w:pBdr>
          <w:left w:val="threeDEmboss" w:sz="24" w:space="1" w:color="auto"/>
        </w:pBdr>
        <w:tabs>
          <w:tab w:val="clear" w:pos="720"/>
          <w:tab w:val="num" w:pos="360"/>
        </w:tabs>
        <w:ind w:left="360"/>
        <w:jc w:val="both"/>
        <w:rPr>
          <w:b w:val="0"/>
          <w:bCs w:val="0"/>
          <w:sz w:val="20"/>
        </w:rPr>
      </w:pPr>
      <w:r>
        <w:rPr>
          <w:b w:val="0"/>
          <w:bCs w:val="0"/>
          <w:sz w:val="20"/>
        </w:rPr>
        <w:t>their physical or mental (in)capacity for “gainful employment”;</w:t>
      </w:r>
    </w:p>
    <w:p w14:paraId="6F1AE510" w14:textId="77777777" w:rsidR="00C6135B" w:rsidRDefault="00C6135B" w:rsidP="00DB1236">
      <w:pPr>
        <w:pStyle w:val="BodyText"/>
        <w:numPr>
          <w:ilvl w:val="0"/>
          <w:numId w:val="39"/>
        </w:numPr>
        <w:pBdr>
          <w:left w:val="threeDEmboss" w:sz="24" w:space="1" w:color="auto"/>
        </w:pBdr>
        <w:tabs>
          <w:tab w:val="clear" w:pos="720"/>
          <w:tab w:val="num" w:pos="360"/>
        </w:tabs>
        <w:ind w:left="360"/>
        <w:jc w:val="both"/>
        <w:rPr>
          <w:b w:val="0"/>
          <w:bCs w:val="0"/>
          <w:sz w:val="20"/>
        </w:rPr>
      </w:pPr>
      <w:r>
        <w:rPr>
          <w:b w:val="0"/>
          <w:bCs w:val="0"/>
          <w:sz w:val="20"/>
        </w:rPr>
        <w:t>the standard of living before and after the separation;</w:t>
      </w:r>
    </w:p>
    <w:p w14:paraId="75D2773E" w14:textId="77777777" w:rsidR="00C6135B" w:rsidRDefault="00C6135B" w:rsidP="00DB1236">
      <w:pPr>
        <w:pStyle w:val="BodyText"/>
        <w:numPr>
          <w:ilvl w:val="0"/>
          <w:numId w:val="39"/>
        </w:numPr>
        <w:pBdr>
          <w:left w:val="threeDEmboss" w:sz="24" w:space="1" w:color="auto"/>
        </w:pBdr>
        <w:tabs>
          <w:tab w:val="clear" w:pos="720"/>
          <w:tab w:val="num" w:pos="360"/>
        </w:tabs>
        <w:ind w:left="360"/>
        <w:jc w:val="both"/>
        <w:rPr>
          <w:b w:val="0"/>
          <w:bCs w:val="0"/>
          <w:sz w:val="20"/>
        </w:rPr>
      </w:pPr>
      <w:r>
        <w:rPr>
          <w:b w:val="0"/>
          <w:bCs w:val="0"/>
          <w:sz w:val="20"/>
        </w:rPr>
        <w:t>the duration of the marriage and the effect on earning capacity;</w:t>
      </w:r>
    </w:p>
    <w:p w14:paraId="26357D09" w14:textId="77777777" w:rsidR="00681307" w:rsidRDefault="00681307" w:rsidP="00DB1236">
      <w:pPr>
        <w:pStyle w:val="BodyText"/>
        <w:pBdr>
          <w:left w:val="threeDEmboss" w:sz="24" w:space="1" w:color="auto"/>
        </w:pBdr>
        <w:tabs>
          <w:tab w:val="num" w:pos="360"/>
        </w:tabs>
        <w:ind w:left="360" w:hanging="360"/>
        <w:jc w:val="both"/>
        <w:rPr>
          <w:b w:val="0"/>
          <w:bCs w:val="0"/>
          <w:sz w:val="20"/>
        </w:rPr>
      </w:pPr>
    </w:p>
    <w:p w14:paraId="6D0A9151" w14:textId="77777777" w:rsidR="00C6135B" w:rsidRDefault="003D5063" w:rsidP="00DB1236">
      <w:pPr>
        <w:pStyle w:val="BodyText"/>
        <w:pBdr>
          <w:left w:val="threeDEmboss" w:sz="24" w:space="1" w:color="auto"/>
        </w:pBdr>
        <w:tabs>
          <w:tab w:val="num" w:pos="360"/>
        </w:tabs>
        <w:ind w:left="360" w:hanging="360"/>
        <w:jc w:val="both"/>
        <w:rPr>
          <w:b w:val="0"/>
          <w:bCs w:val="0"/>
          <w:sz w:val="20"/>
        </w:rPr>
      </w:pPr>
      <w:r>
        <w:rPr>
          <w:b w:val="0"/>
          <w:bCs w:val="0"/>
          <w:noProof/>
          <w:sz w:val="20"/>
          <w:lang w:val="en-US"/>
        </w:rPr>
        <w:pict w14:anchorId="4F5BB05E">
          <v:line id="_x0000_s1029" style="position:absolute;left:0;text-align:left;z-index:251657728" from="20.7pt,9.8pt" to="191.7pt,9.8pt" strokeweight="3pt">
            <v:stroke linestyle="thinThin"/>
          </v:line>
        </w:pict>
      </w:r>
    </w:p>
    <w:p w14:paraId="4975C277" w14:textId="77777777" w:rsidR="00681307" w:rsidRDefault="00681307" w:rsidP="00DB1236">
      <w:pPr>
        <w:pStyle w:val="BodyText"/>
        <w:pBdr>
          <w:left w:val="threeDEmboss" w:sz="24" w:space="1" w:color="auto"/>
        </w:pBdr>
        <w:tabs>
          <w:tab w:val="num" w:pos="360"/>
        </w:tabs>
        <w:ind w:left="360" w:hanging="360"/>
        <w:jc w:val="both"/>
        <w:rPr>
          <w:b w:val="0"/>
          <w:bCs w:val="0"/>
          <w:sz w:val="20"/>
        </w:rPr>
      </w:pPr>
    </w:p>
    <w:p w14:paraId="45B23AC1" w14:textId="77777777" w:rsidR="00C6135B" w:rsidRDefault="00C6135B" w:rsidP="00DB1236">
      <w:pPr>
        <w:pStyle w:val="BodyText"/>
        <w:pBdr>
          <w:left w:val="threeDEmboss" w:sz="24" w:space="1" w:color="auto"/>
        </w:pBdr>
        <w:tabs>
          <w:tab w:val="num" w:pos="0"/>
        </w:tabs>
        <w:jc w:val="both"/>
        <w:rPr>
          <w:b w:val="0"/>
          <w:bCs w:val="0"/>
          <w:sz w:val="20"/>
        </w:rPr>
      </w:pPr>
      <w:r>
        <w:rPr>
          <w:b w:val="0"/>
          <w:bCs w:val="0"/>
          <w:sz w:val="20"/>
        </w:rPr>
        <w:t>For further information please don’t hesitate to contact:</w:t>
      </w:r>
    </w:p>
    <w:p w14:paraId="3E60B434" w14:textId="77777777" w:rsidR="00252F1E" w:rsidRDefault="00252F1E" w:rsidP="00DB1236">
      <w:pPr>
        <w:pStyle w:val="BodyText"/>
        <w:pBdr>
          <w:left w:val="threeDEmboss" w:sz="24" w:space="1" w:color="auto"/>
        </w:pBdr>
        <w:tabs>
          <w:tab w:val="num" w:pos="360"/>
        </w:tabs>
        <w:ind w:left="360" w:hanging="360"/>
        <w:jc w:val="both"/>
        <w:rPr>
          <w:sz w:val="20"/>
        </w:rPr>
      </w:pPr>
    </w:p>
    <w:p w14:paraId="2CD49F7A" w14:textId="264C0AB0" w:rsidR="00252F1E" w:rsidRDefault="00252F1E" w:rsidP="008824E9">
      <w:pPr>
        <w:pStyle w:val="BodyText"/>
        <w:pBdr>
          <w:left w:val="threeDEmboss" w:sz="24" w:space="1" w:color="auto"/>
        </w:pBdr>
        <w:tabs>
          <w:tab w:val="num" w:pos="360"/>
        </w:tabs>
        <w:ind w:left="360" w:hanging="360"/>
        <w:jc w:val="both"/>
        <w:rPr>
          <w:sz w:val="20"/>
        </w:rPr>
      </w:pPr>
      <w:r>
        <w:rPr>
          <w:sz w:val="20"/>
        </w:rPr>
        <w:tab/>
      </w:r>
      <w:r w:rsidR="00C6135B">
        <w:rPr>
          <w:sz w:val="20"/>
        </w:rPr>
        <w:t>Grahame Jackson</w:t>
      </w:r>
      <w:r w:rsidR="00C6135B">
        <w:rPr>
          <w:b w:val="0"/>
          <w:bCs w:val="0"/>
          <w:sz w:val="20"/>
        </w:rPr>
        <w:t xml:space="preserve"> </w:t>
      </w:r>
      <w:r w:rsidR="00C6135B">
        <w:rPr>
          <w:sz w:val="20"/>
        </w:rPr>
        <w:t>BEc.LLB</w:t>
      </w:r>
    </w:p>
    <w:p w14:paraId="73F6E096" w14:textId="77777777" w:rsidR="00681307" w:rsidRDefault="00681307" w:rsidP="00DB1236">
      <w:pPr>
        <w:pStyle w:val="BodyText"/>
        <w:pBdr>
          <w:left w:val="threeDEmboss" w:sz="24" w:space="1" w:color="auto"/>
        </w:pBdr>
        <w:tabs>
          <w:tab w:val="num" w:pos="360"/>
        </w:tabs>
        <w:ind w:left="360" w:hanging="360"/>
        <w:jc w:val="both"/>
        <w:rPr>
          <w:b w:val="0"/>
          <w:bCs w:val="0"/>
          <w:sz w:val="20"/>
        </w:rPr>
      </w:pPr>
      <w:r>
        <w:rPr>
          <w:sz w:val="20"/>
        </w:rPr>
        <w:tab/>
      </w:r>
      <w:hyperlink r:id="rId11" w:history="1">
        <w:r w:rsidRPr="00512C8B">
          <w:rPr>
            <w:rStyle w:val="Hyperlink"/>
            <w:sz w:val="20"/>
          </w:rPr>
          <w:t>grahamejackson@gjalaw.com</w:t>
        </w:r>
      </w:hyperlink>
      <w:r>
        <w:rPr>
          <w:sz w:val="20"/>
        </w:rPr>
        <w:tab/>
      </w:r>
    </w:p>
    <w:p w14:paraId="29AD83D0" w14:textId="77777777" w:rsidR="00252F1E" w:rsidRDefault="00252F1E" w:rsidP="00DB1236">
      <w:pPr>
        <w:pStyle w:val="BodyText"/>
        <w:pBdr>
          <w:left w:val="threeDEmboss" w:sz="24" w:space="1" w:color="auto"/>
        </w:pBdr>
        <w:tabs>
          <w:tab w:val="num" w:pos="360"/>
        </w:tabs>
        <w:ind w:left="360" w:hanging="360"/>
        <w:jc w:val="both"/>
        <w:rPr>
          <w:sz w:val="24"/>
        </w:rPr>
      </w:pPr>
    </w:p>
    <w:p w14:paraId="0EABFC8E" w14:textId="084A5282" w:rsidR="00252F1E" w:rsidRPr="008824E9" w:rsidRDefault="00681307" w:rsidP="008824E9">
      <w:pPr>
        <w:pStyle w:val="BodyText"/>
        <w:pBdr>
          <w:left w:val="threeDEmboss" w:sz="24" w:space="1" w:color="auto"/>
        </w:pBdr>
        <w:tabs>
          <w:tab w:val="num" w:pos="360"/>
        </w:tabs>
        <w:ind w:left="360" w:hanging="360"/>
        <w:jc w:val="both"/>
        <w:rPr>
          <w:sz w:val="24"/>
        </w:rPr>
      </w:pPr>
      <w:r>
        <w:rPr>
          <w:sz w:val="24"/>
        </w:rPr>
        <w:t>Tel:</w:t>
      </w:r>
      <w:r>
        <w:rPr>
          <w:sz w:val="24"/>
        </w:rPr>
        <w:tab/>
      </w:r>
      <w:r>
        <w:rPr>
          <w:sz w:val="24"/>
        </w:rPr>
        <w:tab/>
      </w:r>
      <w:r w:rsidR="00C6135B" w:rsidRPr="001B3AF1">
        <w:rPr>
          <w:szCs w:val="28"/>
        </w:rPr>
        <w:t xml:space="preserve">02 </w:t>
      </w:r>
      <w:r w:rsidR="00D16094" w:rsidRPr="001B3AF1">
        <w:rPr>
          <w:szCs w:val="28"/>
        </w:rPr>
        <w:t>9908 1700</w:t>
      </w:r>
    </w:p>
    <w:p w14:paraId="770496DF" w14:textId="77777777" w:rsidR="00D16094" w:rsidRPr="00D16094" w:rsidRDefault="00D16094" w:rsidP="00DB1236">
      <w:pPr>
        <w:pStyle w:val="BodyText"/>
        <w:pBdr>
          <w:left w:val="threeDEmboss" w:sz="24" w:space="1" w:color="auto"/>
        </w:pBdr>
        <w:tabs>
          <w:tab w:val="num" w:pos="360"/>
        </w:tabs>
        <w:ind w:left="360" w:hanging="360"/>
        <w:jc w:val="both"/>
        <w:rPr>
          <w:b w:val="0"/>
          <w:bCs w:val="0"/>
          <w:sz w:val="20"/>
        </w:rPr>
      </w:pPr>
      <w:r w:rsidRPr="00D16094">
        <w:rPr>
          <w:b w:val="0"/>
          <w:sz w:val="20"/>
        </w:rPr>
        <w:t>Fax:</w:t>
      </w:r>
      <w:r w:rsidR="00681307">
        <w:rPr>
          <w:b w:val="0"/>
          <w:sz w:val="20"/>
        </w:rPr>
        <w:tab/>
      </w:r>
      <w:r w:rsidR="00681307">
        <w:rPr>
          <w:b w:val="0"/>
          <w:sz w:val="20"/>
        </w:rPr>
        <w:tab/>
      </w:r>
      <w:r w:rsidRPr="00D16094">
        <w:rPr>
          <w:b w:val="0"/>
          <w:sz w:val="20"/>
        </w:rPr>
        <w:t>02 9908 1755</w:t>
      </w:r>
    </w:p>
    <w:p w14:paraId="1ACBEBA1" w14:textId="77777777" w:rsidR="00681307" w:rsidRDefault="00681307" w:rsidP="008824E9">
      <w:pPr>
        <w:pStyle w:val="BodyText"/>
        <w:pBdr>
          <w:left w:val="threeDEmboss" w:sz="24" w:space="1" w:color="auto"/>
        </w:pBdr>
        <w:tabs>
          <w:tab w:val="num" w:pos="360"/>
        </w:tabs>
        <w:jc w:val="both"/>
        <w:rPr>
          <w:b w:val="0"/>
          <w:sz w:val="20"/>
        </w:rPr>
      </w:pPr>
    </w:p>
    <w:p w14:paraId="1C1B47B9" w14:textId="77777777" w:rsidR="00681307" w:rsidRDefault="00681307" w:rsidP="00DB1236">
      <w:pPr>
        <w:pStyle w:val="BodyText"/>
        <w:pBdr>
          <w:left w:val="threeDEmboss" w:sz="24" w:space="1" w:color="auto"/>
        </w:pBdr>
        <w:tabs>
          <w:tab w:val="num" w:pos="360"/>
        </w:tabs>
        <w:ind w:left="360" w:hanging="360"/>
        <w:jc w:val="both"/>
        <w:rPr>
          <w:b w:val="0"/>
          <w:sz w:val="20"/>
        </w:rPr>
      </w:pPr>
      <w:r>
        <w:rPr>
          <w:b w:val="0"/>
          <w:sz w:val="20"/>
        </w:rPr>
        <w:t>Grahame Jackson &amp; Associates</w:t>
      </w:r>
    </w:p>
    <w:p w14:paraId="27497F86" w14:textId="7242D09F" w:rsidR="00DB1236" w:rsidRDefault="00681307" w:rsidP="008824E9">
      <w:pPr>
        <w:pStyle w:val="BodyText"/>
        <w:pBdr>
          <w:left w:val="threeDEmboss" w:sz="24" w:space="1" w:color="auto"/>
        </w:pBdr>
        <w:tabs>
          <w:tab w:val="num" w:pos="360"/>
        </w:tabs>
        <w:ind w:left="360" w:hanging="360"/>
        <w:jc w:val="both"/>
        <w:rPr>
          <w:b w:val="0"/>
          <w:sz w:val="20"/>
        </w:rPr>
      </w:pPr>
      <w:r>
        <w:rPr>
          <w:b w:val="0"/>
          <w:sz w:val="20"/>
        </w:rPr>
        <w:t>Attorneys at Law</w:t>
      </w:r>
    </w:p>
    <w:p w14:paraId="49ADFA97" w14:textId="77777777" w:rsidR="00C6135B" w:rsidRPr="00D16094" w:rsidRDefault="00D16094" w:rsidP="00DB1236">
      <w:pPr>
        <w:pStyle w:val="BodyText"/>
        <w:pBdr>
          <w:left w:val="threeDEmboss" w:sz="24" w:space="1" w:color="auto"/>
        </w:pBdr>
        <w:tabs>
          <w:tab w:val="num" w:pos="360"/>
        </w:tabs>
        <w:ind w:left="360" w:hanging="360"/>
        <w:jc w:val="both"/>
        <w:rPr>
          <w:b w:val="0"/>
          <w:sz w:val="20"/>
        </w:rPr>
      </w:pPr>
      <w:smartTag w:uri="urn:schemas-microsoft-com:office:smarttags" w:element="address">
        <w:smartTag w:uri="urn:schemas-microsoft-com:office:smarttags" w:element="Street">
          <w:r w:rsidRPr="00D16094">
            <w:rPr>
              <w:b w:val="0"/>
              <w:sz w:val="20"/>
            </w:rPr>
            <w:t>Suite</w:t>
          </w:r>
        </w:smartTag>
        <w:r w:rsidRPr="00D16094">
          <w:rPr>
            <w:b w:val="0"/>
            <w:sz w:val="20"/>
          </w:rPr>
          <w:t xml:space="preserve"> 4</w:t>
        </w:r>
      </w:smartTag>
      <w:r w:rsidRPr="00D16094">
        <w:rPr>
          <w:b w:val="0"/>
          <w:sz w:val="20"/>
        </w:rPr>
        <w:t xml:space="preserve">, </w:t>
      </w:r>
      <w:smartTag w:uri="urn:schemas-microsoft-com:office:smarttags" w:element="address">
        <w:smartTag w:uri="urn:schemas-microsoft-com:office:smarttags" w:element="Street">
          <w:r w:rsidRPr="00D16094">
            <w:rPr>
              <w:b w:val="0"/>
              <w:sz w:val="20"/>
            </w:rPr>
            <w:t>3-7 Grosvenor Street</w:t>
          </w:r>
        </w:smartTag>
      </w:smartTag>
    </w:p>
    <w:p w14:paraId="0D7FECC3" w14:textId="4E42C406" w:rsidR="00DB1236" w:rsidRDefault="00D16094" w:rsidP="008824E9">
      <w:pPr>
        <w:pStyle w:val="BodyText"/>
        <w:pBdr>
          <w:left w:val="threeDEmboss" w:sz="24" w:space="1" w:color="auto"/>
        </w:pBdr>
        <w:tabs>
          <w:tab w:val="num" w:pos="360"/>
        </w:tabs>
        <w:ind w:left="360" w:hanging="360"/>
        <w:jc w:val="both"/>
        <w:rPr>
          <w:b w:val="0"/>
          <w:sz w:val="20"/>
        </w:rPr>
      </w:pPr>
      <w:r w:rsidRPr="00D16094">
        <w:rPr>
          <w:b w:val="0"/>
          <w:sz w:val="20"/>
        </w:rPr>
        <w:t xml:space="preserve">Neutral Bay </w:t>
      </w:r>
      <w:r w:rsidR="00681307">
        <w:rPr>
          <w:b w:val="0"/>
          <w:sz w:val="20"/>
        </w:rPr>
        <w:t xml:space="preserve">NSW </w:t>
      </w:r>
      <w:r w:rsidRPr="00D16094">
        <w:rPr>
          <w:b w:val="0"/>
          <w:sz w:val="20"/>
        </w:rPr>
        <w:t>2089.</w:t>
      </w:r>
    </w:p>
    <w:p w14:paraId="7FAA9D26" w14:textId="77777777" w:rsidR="00C6135B" w:rsidRPr="00681307" w:rsidRDefault="00681307" w:rsidP="00DB1236">
      <w:pPr>
        <w:pStyle w:val="BodyText"/>
        <w:pBdr>
          <w:left w:val="threeDEmboss" w:sz="24" w:space="1" w:color="auto"/>
        </w:pBdr>
        <w:tabs>
          <w:tab w:val="num" w:pos="360"/>
        </w:tabs>
        <w:ind w:left="360" w:hanging="360"/>
        <w:jc w:val="both"/>
        <w:rPr>
          <w:b w:val="0"/>
          <w:sz w:val="20"/>
        </w:rPr>
      </w:pPr>
      <w:r w:rsidRPr="00681307">
        <w:rPr>
          <w:b w:val="0"/>
          <w:sz w:val="20"/>
        </w:rPr>
        <w:t>ABN: 31 099 497 551</w:t>
      </w:r>
    </w:p>
    <w:sectPr w:rsidR="00C6135B" w:rsidRPr="00681307" w:rsidSect="009D0B11">
      <w:headerReference w:type="even" r:id="rId12"/>
      <w:headerReference w:type="default" r:id="rId13"/>
      <w:footerReference w:type="even" r:id="rId14"/>
      <w:footerReference w:type="default" r:id="rId15"/>
      <w:headerReference w:type="first" r:id="rId16"/>
      <w:footerReference w:type="first" r:id="rId17"/>
      <w:type w:val="continuous"/>
      <w:pgSz w:w="16840" w:h="11907" w:orient="landscape" w:code="9"/>
      <w:pgMar w:top="851" w:right="851" w:bottom="851" w:left="851"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14883" w14:textId="77777777" w:rsidR="00C969B9" w:rsidRDefault="00C969B9">
      <w:r>
        <w:separator/>
      </w:r>
    </w:p>
  </w:endnote>
  <w:endnote w:type="continuationSeparator" w:id="0">
    <w:p w14:paraId="568EF7A5" w14:textId="77777777" w:rsidR="00C969B9" w:rsidRDefault="00C9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E25D1" w14:textId="77777777" w:rsidR="00AD2617" w:rsidRDefault="00AD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4BB0" w14:textId="77777777" w:rsidR="00AD2617" w:rsidRDefault="00AD2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9D437" w14:textId="77777777" w:rsidR="00AD2617" w:rsidRDefault="00AD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9DFD7" w14:textId="77777777" w:rsidR="00C969B9" w:rsidRDefault="00C969B9">
      <w:r>
        <w:separator/>
      </w:r>
    </w:p>
  </w:footnote>
  <w:footnote w:type="continuationSeparator" w:id="0">
    <w:p w14:paraId="61A95FBC" w14:textId="77777777" w:rsidR="00C969B9" w:rsidRDefault="00C9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134F" w14:textId="77777777" w:rsidR="00AD2617" w:rsidRDefault="00AD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4EF1" w14:textId="77777777" w:rsidR="00C6135B" w:rsidRDefault="00C61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021A" w14:textId="77777777" w:rsidR="00AD2617" w:rsidRDefault="00AD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31E"/>
    <w:multiLevelType w:val="hybridMultilevel"/>
    <w:tmpl w:val="EBB668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577C75"/>
    <w:multiLevelType w:val="hybridMultilevel"/>
    <w:tmpl w:val="C556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865D5"/>
    <w:multiLevelType w:val="hybridMultilevel"/>
    <w:tmpl w:val="AE162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426F3"/>
    <w:multiLevelType w:val="hybridMultilevel"/>
    <w:tmpl w:val="DACA22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7D43AB"/>
    <w:multiLevelType w:val="hybridMultilevel"/>
    <w:tmpl w:val="808E3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FA187F"/>
    <w:multiLevelType w:val="hybridMultilevel"/>
    <w:tmpl w:val="E7460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10C40"/>
    <w:multiLevelType w:val="hybridMultilevel"/>
    <w:tmpl w:val="2AE84B0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7D6D35"/>
    <w:multiLevelType w:val="hybridMultilevel"/>
    <w:tmpl w:val="B2DE6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82E24"/>
    <w:multiLevelType w:val="hybridMultilevel"/>
    <w:tmpl w:val="CAE89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E1E68"/>
    <w:multiLevelType w:val="hybridMultilevel"/>
    <w:tmpl w:val="8B420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67CC0"/>
    <w:multiLevelType w:val="hybridMultilevel"/>
    <w:tmpl w:val="5C269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20C28"/>
    <w:multiLevelType w:val="hybridMultilevel"/>
    <w:tmpl w:val="13866740"/>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6AD1B4B"/>
    <w:multiLevelType w:val="hybridMultilevel"/>
    <w:tmpl w:val="880C94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D0F01F0"/>
    <w:multiLevelType w:val="hybridMultilevel"/>
    <w:tmpl w:val="E8F81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5B89"/>
    <w:multiLevelType w:val="hybridMultilevel"/>
    <w:tmpl w:val="BA74876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F664DA"/>
    <w:multiLevelType w:val="hybridMultilevel"/>
    <w:tmpl w:val="7CBE2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F17E6"/>
    <w:multiLevelType w:val="hybridMultilevel"/>
    <w:tmpl w:val="04EE85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1711C1"/>
    <w:multiLevelType w:val="hybridMultilevel"/>
    <w:tmpl w:val="A9C22D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002C85"/>
    <w:multiLevelType w:val="hybridMultilevel"/>
    <w:tmpl w:val="2B3CE8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584731"/>
    <w:multiLevelType w:val="hybridMultilevel"/>
    <w:tmpl w:val="B2AE38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3C4A07"/>
    <w:multiLevelType w:val="hybridMultilevel"/>
    <w:tmpl w:val="6E648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4E193D"/>
    <w:multiLevelType w:val="hybridMultilevel"/>
    <w:tmpl w:val="D81C3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1819B1"/>
    <w:multiLevelType w:val="hybridMultilevel"/>
    <w:tmpl w:val="8C6A451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D86230"/>
    <w:multiLevelType w:val="hybridMultilevel"/>
    <w:tmpl w:val="264A6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D6E4A"/>
    <w:multiLevelType w:val="hybridMultilevel"/>
    <w:tmpl w:val="A2C02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8A5FEE"/>
    <w:multiLevelType w:val="hybridMultilevel"/>
    <w:tmpl w:val="0B6C6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34915"/>
    <w:multiLevelType w:val="hybridMultilevel"/>
    <w:tmpl w:val="C2DCE7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853469"/>
    <w:multiLevelType w:val="hybridMultilevel"/>
    <w:tmpl w:val="CFAEF8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03A31"/>
    <w:multiLevelType w:val="hybridMultilevel"/>
    <w:tmpl w:val="66EE1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4B2CB5"/>
    <w:multiLevelType w:val="hybridMultilevel"/>
    <w:tmpl w:val="B032D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336EE"/>
    <w:multiLevelType w:val="hybridMultilevel"/>
    <w:tmpl w:val="16F4DE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431329"/>
    <w:multiLevelType w:val="hybridMultilevel"/>
    <w:tmpl w:val="9086D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72ADD"/>
    <w:multiLevelType w:val="hybridMultilevel"/>
    <w:tmpl w:val="2298701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009213E"/>
    <w:multiLevelType w:val="hybridMultilevel"/>
    <w:tmpl w:val="10865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F69B8"/>
    <w:multiLevelType w:val="hybridMultilevel"/>
    <w:tmpl w:val="DF14B460"/>
    <w:lvl w:ilvl="0" w:tplc="04090001">
      <w:start w:val="3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C64F6"/>
    <w:multiLevelType w:val="hybridMultilevel"/>
    <w:tmpl w:val="EE1C5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C86BBD"/>
    <w:multiLevelType w:val="hybridMultilevel"/>
    <w:tmpl w:val="BA74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ED5AB8"/>
    <w:multiLevelType w:val="hybridMultilevel"/>
    <w:tmpl w:val="3766B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29166A"/>
    <w:multiLevelType w:val="hybridMultilevel"/>
    <w:tmpl w:val="49607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FB14E8"/>
    <w:multiLevelType w:val="hybridMultilevel"/>
    <w:tmpl w:val="57086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7F157E"/>
    <w:multiLevelType w:val="hybridMultilevel"/>
    <w:tmpl w:val="7F6CC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356072"/>
    <w:multiLevelType w:val="hybridMultilevel"/>
    <w:tmpl w:val="6B3EC39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15:restartNumberingAfterBreak="0">
    <w:nsid w:val="7BF35CD6"/>
    <w:multiLevelType w:val="hybridMultilevel"/>
    <w:tmpl w:val="857A319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3"/>
  </w:num>
  <w:num w:numId="3">
    <w:abstractNumId w:val="6"/>
  </w:num>
  <w:num w:numId="4">
    <w:abstractNumId w:val="34"/>
  </w:num>
  <w:num w:numId="5">
    <w:abstractNumId w:val="14"/>
  </w:num>
  <w:num w:numId="6">
    <w:abstractNumId w:val="36"/>
  </w:num>
  <w:num w:numId="7">
    <w:abstractNumId w:val="1"/>
  </w:num>
  <w:num w:numId="8">
    <w:abstractNumId w:val="38"/>
  </w:num>
  <w:num w:numId="9">
    <w:abstractNumId w:val="7"/>
  </w:num>
  <w:num w:numId="10">
    <w:abstractNumId w:val="5"/>
  </w:num>
  <w:num w:numId="11">
    <w:abstractNumId w:val="8"/>
  </w:num>
  <w:num w:numId="12">
    <w:abstractNumId w:val="40"/>
  </w:num>
  <w:num w:numId="13">
    <w:abstractNumId w:val="31"/>
  </w:num>
  <w:num w:numId="14">
    <w:abstractNumId w:val="15"/>
  </w:num>
  <w:num w:numId="15">
    <w:abstractNumId w:val="21"/>
  </w:num>
  <w:num w:numId="16">
    <w:abstractNumId w:val="35"/>
  </w:num>
  <w:num w:numId="17">
    <w:abstractNumId w:val="9"/>
  </w:num>
  <w:num w:numId="18">
    <w:abstractNumId w:val="2"/>
  </w:num>
  <w:num w:numId="19">
    <w:abstractNumId w:val="4"/>
  </w:num>
  <w:num w:numId="20">
    <w:abstractNumId w:val="13"/>
  </w:num>
  <w:num w:numId="21">
    <w:abstractNumId w:val="22"/>
  </w:num>
  <w:num w:numId="22">
    <w:abstractNumId w:val="18"/>
  </w:num>
  <w:num w:numId="23">
    <w:abstractNumId w:val="12"/>
  </w:num>
  <w:num w:numId="24">
    <w:abstractNumId w:val="19"/>
  </w:num>
  <w:num w:numId="25">
    <w:abstractNumId w:val="39"/>
  </w:num>
  <w:num w:numId="26">
    <w:abstractNumId w:val="16"/>
  </w:num>
  <w:num w:numId="27">
    <w:abstractNumId w:val="26"/>
  </w:num>
  <w:num w:numId="28">
    <w:abstractNumId w:val="28"/>
  </w:num>
  <w:num w:numId="29">
    <w:abstractNumId w:val="30"/>
  </w:num>
  <w:num w:numId="30">
    <w:abstractNumId w:val="33"/>
  </w:num>
  <w:num w:numId="31">
    <w:abstractNumId w:val="27"/>
  </w:num>
  <w:num w:numId="32">
    <w:abstractNumId w:val="23"/>
  </w:num>
  <w:num w:numId="33">
    <w:abstractNumId w:val="24"/>
  </w:num>
  <w:num w:numId="34">
    <w:abstractNumId w:val="29"/>
  </w:num>
  <w:num w:numId="35">
    <w:abstractNumId w:val="32"/>
  </w:num>
  <w:num w:numId="36">
    <w:abstractNumId w:val="42"/>
  </w:num>
  <w:num w:numId="37">
    <w:abstractNumId w:val="17"/>
  </w:num>
  <w:num w:numId="38">
    <w:abstractNumId w:val="11"/>
  </w:num>
  <w:num w:numId="39">
    <w:abstractNumId w:val="25"/>
  </w:num>
  <w:num w:numId="40">
    <w:abstractNumId w:val="10"/>
  </w:num>
  <w:num w:numId="41">
    <w:abstractNumId w:val="37"/>
  </w:num>
  <w:num w:numId="42">
    <w:abstractNumId w:val="4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284"/>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EAPTempPath" w:val="C:\Users\Leah Georgakis\AppData\Local\LEAP Desktop\CDE\cbaf1082-29a1-482b-b70f-7697282125c0\LEAP2Office\MacroFields\"/>
    <w:docVar w:name="LEAPUniqueCode" w:val="d4cd2111-e293-b544-8cca-69ea158398d7"/>
  </w:docVars>
  <w:rsids>
    <w:rsidRoot w:val="00DF02DC"/>
    <w:rsid w:val="000864D6"/>
    <w:rsid w:val="00101014"/>
    <w:rsid w:val="0015747F"/>
    <w:rsid w:val="001B3AF1"/>
    <w:rsid w:val="00252F1E"/>
    <w:rsid w:val="0028058D"/>
    <w:rsid w:val="002C3AD8"/>
    <w:rsid w:val="003D5063"/>
    <w:rsid w:val="004D07F7"/>
    <w:rsid w:val="00570A32"/>
    <w:rsid w:val="005C10EA"/>
    <w:rsid w:val="00631E9C"/>
    <w:rsid w:val="00681307"/>
    <w:rsid w:val="0071019C"/>
    <w:rsid w:val="00796CAD"/>
    <w:rsid w:val="008813CA"/>
    <w:rsid w:val="008824E9"/>
    <w:rsid w:val="009D0B11"/>
    <w:rsid w:val="009D5795"/>
    <w:rsid w:val="00AD2617"/>
    <w:rsid w:val="00AF5FCC"/>
    <w:rsid w:val="00B977F2"/>
    <w:rsid w:val="00C6135B"/>
    <w:rsid w:val="00C969B9"/>
    <w:rsid w:val="00D16094"/>
    <w:rsid w:val="00D71FB8"/>
    <w:rsid w:val="00DB1236"/>
    <w:rsid w:val="00DF02DC"/>
    <w:rsid w:val="00E30E92"/>
    <w:rsid w:val="00FF3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4:docId w14:val="4C1F3BBC"/>
  <w15:chartTrackingRefBased/>
  <w15:docId w15:val="{CDEB42EF-ECC6-4CC4-8B5A-187ED6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rebuchet MS" w:hAnsi="Trebuchet MS"/>
      <w:b/>
      <w:bCs/>
      <w:sz w:val="28"/>
    </w:rPr>
  </w:style>
  <w:style w:type="paragraph" w:styleId="Heading2">
    <w:name w:val="heading 2"/>
    <w:basedOn w:val="Normal"/>
    <w:next w:val="Normal"/>
    <w:qFormat/>
    <w:pPr>
      <w:keepNext/>
      <w:jc w:val="center"/>
      <w:outlineLvl w:val="1"/>
    </w:pPr>
    <w:rPr>
      <w:rFonts w:ascii="Trebuchet MS" w:hAnsi="Trebuchet MS"/>
      <w:b/>
      <w:bCs/>
    </w:rPr>
  </w:style>
  <w:style w:type="paragraph" w:styleId="Heading3">
    <w:name w:val="heading 3"/>
    <w:basedOn w:val="Normal"/>
    <w:next w:val="Normal"/>
    <w:qFormat/>
    <w:pPr>
      <w:keepNext/>
      <w:pBdr>
        <w:left w:val="single" w:sz="48" w:space="31" w:color="C0C0C0"/>
      </w:pBdr>
      <w:ind w:left="360"/>
      <w:jc w:val="center"/>
      <w:outlineLvl w:val="2"/>
    </w:pPr>
    <w:rPr>
      <w:rFonts w:ascii="Garamond" w:hAnsi="Garamond"/>
      <w:b/>
      <w:bCs/>
      <w:shad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rebuchet MS" w:hAnsi="Trebuchet MS"/>
      <w:b/>
      <w:bCs/>
      <w:sz w:val="28"/>
    </w:rPr>
  </w:style>
  <w:style w:type="paragraph" w:customStyle="1" w:styleId="clause">
    <w:name w:val="clause"/>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pBdr>
        <w:left w:val="single" w:sz="48" w:space="31" w:color="C0C0C0"/>
      </w:pBdr>
      <w:ind w:left="360"/>
    </w:pPr>
    <w:rPr>
      <w:rFonts w:ascii="Trebuchet MS" w:hAnsi="Trebuchet MS"/>
      <w:sz w:val="20"/>
    </w:rPr>
  </w:style>
  <w:style w:type="paragraph" w:styleId="BodyTextIndent2">
    <w:name w:val="Body Text Indent 2"/>
    <w:basedOn w:val="Normal"/>
    <w:pPr>
      <w:pBdr>
        <w:left w:val="single" w:sz="48" w:space="31" w:color="C0C0C0"/>
      </w:pBdr>
      <w:ind w:left="360"/>
    </w:pPr>
    <w:rPr>
      <w:rFonts w:ascii="Trebuchet MS" w:hAnsi="Trebuchet MS"/>
      <w:b/>
      <w:bCs/>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sid w:val="001B3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hamejackson@gjalaw.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a=sa.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View xmlns="">3</LEAPDefaultView>
  <LEAPFirmCode xmlns="">04f5f0fd-b0be-4368-ac99-4348dd01e073</LEAPFirmCode>
  <LEAPCursorStartPosition xmlns="">7952</LEAPCursorStartPosition>
  <LEAPCursorEndPosition xmlns="">7952</LEAPCursorEndPosition>
  <LEAPCharacterCount xmlns="">7883</LEAPCharacterCount>
  <LEAPIsUsingNewFields xmlns="">False</LEAPIsUsingNewFields>
  <LEAPIsPrecedent xmlns="">False</LEAPIsPrecedent>
  <LEAPTempPath xmlns="">C:\Users\Leah Georgakis\AppData\Local\LEAP Desktop\CDE\cbaf1082-29a1-482b-b70f-7697282125c0\LEAP2Office\MacroFields\</LEAPTempPath>
  <LEAPDefaultTable xmlns=""/>
</LEAPWordCustomPart>
</file>

<file path=customXml/item2.xml><?xml version="1.0" encoding="utf-8"?>
<LeapEvents xmlns="http://LeapEvents.com"/>
</file>

<file path=customXml/itemProps1.xml><?xml version="1.0" encoding="utf-8"?>
<ds:datastoreItem xmlns:ds="http://schemas.openxmlformats.org/officeDocument/2006/customXml" ds:itemID="{E8260434-7564-44B0-A5DA-957010D3C2F9}">
  <ds:schemaRefs>
    <ds:schemaRef ds:uri="http://LEAPWordCustomPart.com"/>
    <ds:schemaRef ds:uri=""/>
  </ds:schemaRefs>
</ds:datastoreItem>
</file>

<file path=customXml/itemProps2.xml><?xml version="1.0" encoding="utf-8"?>
<ds:datastoreItem xmlns:ds="http://schemas.openxmlformats.org/officeDocument/2006/customXml" ds:itemID="{6E37857F-1E64-4894-B9A5-3FCC7360C806}">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1263</Words>
  <Characters>6710</Characters>
  <Application>Microsoft Office Word</Application>
  <DocSecurity>0</DocSecurity>
  <Lines>248</Lines>
  <Paragraphs>87</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7886</CharactersWithSpaces>
  <SharedDoc>false</SharedDoc>
  <HLinks>
    <vt:vector size="12" baseType="variant">
      <vt:variant>
        <vt:i4>3801103</vt:i4>
      </vt:variant>
      <vt:variant>
        <vt:i4>3</vt:i4>
      </vt:variant>
      <vt:variant>
        <vt:i4>0</vt:i4>
      </vt:variant>
      <vt:variant>
        <vt:i4>5</vt:i4>
      </vt:variant>
      <vt:variant>
        <vt:lpwstr>mailto:grahamejackson@gjalaw.com</vt:lpwstr>
      </vt:variant>
      <vt:variant>
        <vt:lpwstr/>
      </vt:variant>
      <vt:variant>
        <vt:i4>4915288</vt:i4>
      </vt:variant>
      <vt:variant>
        <vt:i4>0</vt:i4>
      </vt:variant>
      <vt:variant>
        <vt:i4>0</vt:i4>
      </vt:variant>
      <vt:variant>
        <vt:i4>5</vt:i4>
      </vt:variant>
      <vt:variant>
        <vt:lpwstr>http://www.ca=sa.gov.au/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Leah Georgakis</dc:creator>
  <cp:keywords/>
  <dc:description/>
  <cp:lastModifiedBy>Leah Georgakis</cp:lastModifiedBy>
  <cp:revision>3</cp:revision>
  <cp:lastPrinted>2009-10-15T04:06:00Z</cp:lastPrinted>
  <dcterms:created xsi:type="dcterms:W3CDTF">2021-01-19T03:17:00Z</dcterms:created>
  <dcterms:modified xsi:type="dcterms:W3CDTF">2021-01-19T03:18:00Z</dcterms:modified>
</cp:coreProperties>
</file>